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B6" w:rsidRDefault="00314B2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Совета потребителей по вопросам деятельности субъектов естественных монополий в Камчатском крае, достигнутые результаты</w:t>
      </w:r>
    </w:p>
    <w:p w:rsidR="00314B2B" w:rsidRDefault="00314B2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6C" w:rsidRDefault="00D860E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975D8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5D8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19.09.2013 № 1689-р «Об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</w:t>
      </w:r>
      <w:r w:rsidR="00E7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5D8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E76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5D8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1534B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осуществления общественного контроля за деятельностью исполнительных органов государственной вла</w:t>
      </w:r>
      <w:r w:rsidR="00061A91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4B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Камчатского края в сфере государственного регулирования цен (тарифов), в том числе по формированию и реализации</w:t>
      </w:r>
      <w:proofErr w:type="gramEnd"/>
      <w:r w:rsidR="001534B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программ субъектов естественных монополий</w:t>
      </w:r>
      <w:r w:rsidR="00975D8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 </w:t>
      </w:r>
      <w:r w:rsidR="00FE6ACE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Камчатского края от 17.03.2015 № 25 создан Совет потребителей по вопросам деятельности субъектов естественных монополий в Камчатском крае</w:t>
      </w:r>
      <w:r w:rsidR="00BA28D2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</w:t>
      </w:r>
      <w:r w:rsidR="0036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361C6C" w:rsidRPr="00361C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https://sltarif.ka</w:t>
        </w:r>
        <w:r w:rsidR="00361C6C" w:rsidRPr="00361C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="00361C6C" w:rsidRPr="00361C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gov.ru/subekty-estestvennyh-monopolij/sovet-potrebitelej-po-voprosam-deatelnosti-subektov-estestvennyh-monopolij-v-kamcatskom-krae/npa-sovet-porteb</w:t>
        </w:r>
      </w:hyperlink>
      <w:r w:rsidR="00361C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44C" w:rsidRDefault="00E06802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 от 17.03.2015 № 255-Р</w:t>
      </w:r>
      <w:r w:rsidR="0090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от 04.07.2019 № 857-Р)</w:t>
      </w: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Совета</w:t>
      </w:r>
      <w:r w:rsidR="00981BAD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вошли представители Палаты Уполномоченных в Камчатском крае, Камчатского регионального отделения общероссийской общественной организации малого и среднего предпринимательства «Опора России», </w:t>
      </w:r>
      <w:r w:rsidR="00621B20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отраслевого объединения работодателей «Союз работодателей жилищно-коммунальных предприятий Камчатского края», </w:t>
      </w:r>
      <w:r w:rsidR="003912DA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совета Фонда противодействия коррупции «СПК» по Камчатскому краю, </w:t>
      </w:r>
      <w:r w:rsidR="00D33344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Торгово-промышленной палаты Камчатского края, </w:t>
      </w:r>
      <w:r w:rsidR="00353021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</w:t>
      </w:r>
      <w:proofErr w:type="gramEnd"/>
      <w:r w:rsidR="00353021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«Ассоциация председателей советов многоквартирных домов», </w:t>
      </w:r>
      <w:r w:rsidR="00EE7626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отделения Общероссийского общественного движения «Народный Фронт «За Россию» в Камчатском крае, </w:t>
      </w:r>
      <w:r w:rsidR="00CE77D9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обособленного подразделения СРО НП «ЖКХ-Групп» в Петропавловске-Камчатском, </w:t>
      </w:r>
      <w:r w:rsidR="007F535D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регионального отделения Общероссийского общественного движения «Россия», </w:t>
      </w:r>
      <w:r w:rsidR="00A82EDE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«Камчатский транспортный союз», </w:t>
      </w:r>
      <w:r w:rsidR="00A031D0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Камчатского края, </w:t>
      </w:r>
      <w:r w:rsidR="00BF359F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«Ассоциация арбитражных управляющих «Паритет», </w:t>
      </w:r>
      <w:r w:rsidR="00950E9E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некоммерческого партнерства «Автомобильный союз Камчатки», </w:t>
      </w:r>
      <w:r w:rsidR="00166F4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регионального центра общественного контроля в</w:t>
      </w:r>
      <w:r w:rsidR="0068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ЖКХ по г. Петропавловску-</w:t>
      </w:r>
      <w:r w:rsidR="00166F4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</w:t>
      </w:r>
      <w:r w:rsidR="0068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«ЖКХ-Контроль»</w:t>
      </w:r>
      <w:r w:rsidR="00D772BC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F13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Камчатского края «Общество защиты прав потребителей», Уполномоченный при Губернаторе Камчатского края по защите прав предпринимателей, представите</w:t>
      </w:r>
      <w:r w:rsidR="00683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политических партий и бизнеса</w:t>
      </w:r>
      <w:r w:rsidR="0031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7" w:history="1">
        <w:r w:rsidR="00314B2B" w:rsidRPr="00314B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https://sltarif.kamgov.ru/subekty-estestvennyh-monopolij/sovet-potrebitelej-po-voprosam-deatelnosti-subekto</w:t>
        </w:r>
        <w:r w:rsidR="00314B2B" w:rsidRPr="00314B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="00314B2B" w:rsidRPr="00314B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-estestvennyh-monopolij-v-kamcatskom-krae/npa-sovet-porteb</w:t>
        </w:r>
      </w:hyperlink>
      <w:r w:rsidR="00314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F13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7C3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C6B" w:rsidRPr="004A2EE1" w:rsidRDefault="00C607C3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формировании состава Совета соблюден принцип баланса представительства участников.</w:t>
      </w:r>
    </w:p>
    <w:p w:rsidR="00622CBE" w:rsidRPr="004A2EE1" w:rsidRDefault="00622CBE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Совета является:</w:t>
      </w:r>
    </w:p>
    <w:p w:rsidR="00622CBE" w:rsidRPr="004A2EE1" w:rsidRDefault="00622CBE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 до сведения исполнительных органов государственной власти Камчатского края, осуществляющих функции в области государственного регулирования тарифов, и субъектов естественных монополий мнения потребителей;</w:t>
      </w:r>
    </w:p>
    <w:p w:rsidR="00156C6B" w:rsidRPr="004A2EE1" w:rsidRDefault="00622CBE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 и эффективное социально-экономическое развитие Камчатского края;</w:t>
      </w:r>
      <w:r w:rsidR="00156C6B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C6B" w:rsidRPr="004A2EE1" w:rsidRDefault="00156C6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рекомендаций по совершенствованию государственного регулирования тарифов при утверждении инвестиционных программ субъектов естественных монополий, установление которых в соответствии с нормативными правовыми актами отнесено к компетенции органов</w:t>
      </w:r>
      <w:r w:rsidR="00FF6E66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="003070E9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F6E66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6B" w:rsidRPr="004A2EE1" w:rsidRDefault="00156C6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населения края и общественных организаций и содействие в формировании позитивного общественного мнения по вопросам государственного регулирования тарифов при утверждении инвестиционных программ су</w:t>
      </w:r>
      <w:r w:rsidR="00FF6E66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естественных монополий;</w:t>
      </w:r>
    </w:p>
    <w:p w:rsidR="00156C6B" w:rsidRPr="004A2EE1" w:rsidRDefault="00156C6B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общественного контроля тарифного регулирования субъектов естественных монополий.</w:t>
      </w:r>
    </w:p>
    <w:p w:rsidR="00D7673C" w:rsidRDefault="00C10ECF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834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Советом проведено </w:t>
      </w:r>
      <w:r w:rsidR="00E465DA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465DA" w:rsidRP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3C" w:rsidRPr="00D7673C" w:rsidRDefault="00D7673C" w:rsidP="00361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принял участие в рассмотрении проектов инвестиционных программ</w:t>
      </w:r>
      <w:r w:rsid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корректировок инвестиционных программ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утверждение которых осуществляется </w:t>
      </w:r>
      <w:r w:rsidRPr="00D7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 службой по тарифам и ценам Камчатского края</w:t>
      </w:r>
      <w:r w:rsidR="00F4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0932" w:rsidRDefault="00D7673C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рассмотрение Совета были направлены проекты инвестиционных программ</w:t>
      </w:r>
      <w:r w:rsid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932" w:rsidRDefault="00F40932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электроэнергетики:</w:t>
      </w:r>
    </w:p>
    <w:p w:rsidR="00D7673C" w:rsidRDefault="00F40932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программа АО «Корякэнерго» в сфере электроэнергетики на 2017-2019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932" w:rsidRDefault="00F40932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инвестиционную программу </w:t>
      </w:r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ПКГО «</w:t>
      </w:r>
      <w:proofErr w:type="spellStart"/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</w:t>
      </w:r>
      <w:proofErr w:type="spellEnd"/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развитию электроснабжения г. Петропавловска-Камчатского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932" w:rsidRDefault="00131D50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инвестиционную программу </w:t>
      </w:r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ПКГО «</w:t>
      </w:r>
      <w:proofErr w:type="spellStart"/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</w:t>
      </w:r>
      <w:proofErr w:type="spellEnd"/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развитию электроснабжения г. Петропавловска-Камчатского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50" w:rsidRDefault="004E06FD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программа филиала «Камчатский» АО «</w:t>
      </w:r>
      <w:proofErr w:type="spellStart"/>
      <w:r w:rsidRPr="004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Pr="004E06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6FD" w:rsidRDefault="004F1EF0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инвестиционной программы ООО «Электрические сети Ивашки» на 2019-2021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EF0" w:rsidRDefault="004F1EF0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</w:t>
      </w:r>
      <w:r w:rsidRPr="004F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F1EF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Энергопрогноз</w:t>
      </w:r>
      <w:proofErr w:type="spellEnd"/>
      <w:r w:rsidRPr="004F1E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EF0" w:rsidRDefault="00371CC9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1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изменений в инвестиционную программу АО «Камчатские электрические сети им. И.А. Пискунова» на 2018-2020 годы»</w:t>
      </w:r>
      <w:r w:rsidR="00E4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932" w:rsidRDefault="00F40932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водоснабжения и водоотведения:</w:t>
      </w:r>
    </w:p>
    <w:p w:rsidR="00F40932" w:rsidRDefault="00F40932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нвестиционная программа ООО «Светлячок» по развитию систем холодного водоснабжения </w:t>
      </w:r>
      <w:proofErr w:type="spellStart"/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F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на 2020-2023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932" w:rsidRDefault="00131D50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нвестиционная программа ООО «Светлячок» по развитию систем холодного водоснабжения </w:t>
      </w:r>
      <w:proofErr w:type="spellStart"/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1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на 2020-2023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50" w:rsidRDefault="00371CC9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инвестиционной программы КГУП «Камчатский водоканал» в сфере водоснабжения и водоотведения на 2019-2021 годы</w:t>
      </w:r>
      <w:r w:rsidR="00FC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FFD" w:rsidRDefault="007E2FFD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при рассмотрении проектов Советом 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и обоснованности применения мероприятий, предусмотренных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D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заявленных организацией показателей эффективности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ряде случаев Советом даны рекомендации по внесению поправок и корректировок в проекты.</w:t>
      </w:r>
    </w:p>
    <w:p w:rsidR="002B45C3" w:rsidRDefault="002B45C3" w:rsidP="00361C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рассмотрения инвестиционных программ </w:t>
      </w:r>
      <w:r w:rsidRPr="002B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B4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Региональной службы по тарифам и ценам Камчатского края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2B45C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https://sltarif.kamgov.ru/subekty-estestvennyh-monopolij/sovet-potrebitelej-po-voprosam-deatelnosti-subektov-estestven</w:t>
        </w:r>
        <w:r w:rsidRPr="002B45C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2B45C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yh-monopolij-v-kamcatskom-krae/resenia-po-rezultatam-rassmotrenia-investicionnyh-programm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4114" w:rsidRDefault="007021F1" w:rsidP="00361C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2019 году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</w:t>
      </w:r>
      <w:r w:rsidR="00C14114" w:rsidRPr="00C14114">
        <w:rPr>
          <w:rFonts w:ascii="Times New Roman" w:hAnsi="Times New Roman" w:cs="Times New Roman"/>
          <w:sz w:val="28"/>
          <w:szCs w:val="28"/>
        </w:rPr>
        <w:t>лучши</w:t>
      </w:r>
      <w:r w:rsidR="00C14114">
        <w:rPr>
          <w:rFonts w:ascii="Times New Roman" w:hAnsi="Times New Roman" w:cs="Times New Roman"/>
          <w:sz w:val="28"/>
          <w:szCs w:val="28"/>
        </w:rPr>
        <w:t>е</w:t>
      </w:r>
      <w:r w:rsidR="00C14114" w:rsidRPr="00C1411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C14114">
        <w:rPr>
          <w:rFonts w:ascii="Times New Roman" w:hAnsi="Times New Roman" w:cs="Times New Roman"/>
          <w:sz w:val="28"/>
          <w:szCs w:val="28"/>
        </w:rPr>
        <w:t>и</w:t>
      </w:r>
      <w:r w:rsidR="00C14114" w:rsidRPr="00C14114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 и определе</w:t>
      </w:r>
      <w:r w:rsidR="00C14114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C14114" w:rsidRPr="00C14114">
        <w:rPr>
          <w:rFonts w:ascii="Times New Roman" w:hAnsi="Times New Roman" w:cs="Times New Roman"/>
          <w:sz w:val="28"/>
          <w:szCs w:val="28"/>
        </w:rPr>
        <w:t xml:space="preserve"> методики оценки эффективности реализации инвестиционных программ и отдельных инвестиционных проектов субъектов естественных монополий в Камчатском крае со стороны Совета потребителей по вопросам деятельности субъектов естественных монополий в Камчатском крае.</w:t>
      </w:r>
      <w:r w:rsidR="007E2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FFD">
        <w:rPr>
          <w:rFonts w:ascii="Times New Roman" w:hAnsi="Times New Roman" w:cs="Times New Roman"/>
          <w:sz w:val="28"/>
          <w:szCs w:val="28"/>
        </w:rPr>
        <w:t xml:space="preserve">В рамках данной работы </w:t>
      </w:r>
      <w:r w:rsidR="007E2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поддержке Агентства инвестиций и предпринимательства Камчатского края Советом разработаны и применяются форма заключения Совета </w:t>
      </w:r>
      <w:r w:rsidR="007E2FFD" w:rsidRPr="00170F8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проектов инвестиционных программ и отдельных инвестиционных проектов в </w:t>
      </w:r>
      <w:r w:rsidR="007E2FFD" w:rsidRPr="00170F8D">
        <w:rPr>
          <w:rFonts w:ascii="Times New Roman" w:hAnsi="Times New Roman" w:cs="Times New Roman"/>
          <w:sz w:val="28"/>
          <w:szCs w:val="28"/>
        </w:rPr>
        <w:lastRenderedPageBreak/>
        <w:t>Камчатском крае</w:t>
      </w:r>
      <w:r w:rsidR="007E2FFD" w:rsidRPr="00170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2FFD">
        <w:rPr>
          <w:rFonts w:ascii="Times New Roman" w:eastAsia="Calibri" w:hAnsi="Times New Roman" w:cs="Times New Roman"/>
          <w:sz w:val="28"/>
          <w:szCs w:val="28"/>
          <w:lang w:eastAsia="ru-RU"/>
        </w:rPr>
        <w:t>и форма</w:t>
      </w:r>
      <w:r w:rsidR="007E2FFD" w:rsidRPr="00170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</w:t>
      </w:r>
      <w:r w:rsidR="007E2F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E2FFD" w:rsidRPr="00170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реализации инвестиционных программ и отдельных инвестиционных проектов субъектов естественных монополий в Ка</w:t>
      </w:r>
      <w:r w:rsidR="007E2FFD">
        <w:rPr>
          <w:rFonts w:ascii="Times New Roman" w:eastAsia="Calibri" w:hAnsi="Times New Roman" w:cs="Times New Roman"/>
          <w:sz w:val="28"/>
          <w:szCs w:val="28"/>
          <w:lang w:eastAsia="ru-RU"/>
        </w:rPr>
        <w:t>мчатском крае со стороны Совета.</w:t>
      </w:r>
      <w:proofErr w:type="gramEnd"/>
    </w:p>
    <w:p w:rsidR="00DB633D" w:rsidRDefault="0083052D" w:rsidP="00361C6C">
      <w:pPr>
        <w:tabs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Совета в 2019 году р</w:t>
      </w:r>
      <w:r w:rsidR="00DB633D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отрены</w:t>
      </w:r>
      <w:r w:rsidR="00D560F4">
        <w:rPr>
          <w:rFonts w:ascii="Times New Roman" w:hAnsi="Times New Roman" w:cs="Times New Roman"/>
          <w:sz w:val="28"/>
          <w:szCs w:val="28"/>
        </w:rPr>
        <w:t xml:space="preserve"> </w:t>
      </w:r>
      <w:r w:rsidR="00DB633D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="00D560F4">
        <w:rPr>
          <w:rFonts w:ascii="Times New Roman" w:hAnsi="Times New Roman" w:cs="Times New Roman"/>
          <w:sz w:val="28"/>
          <w:szCs w:val="28"/>
        </w:rPr>
        <w:t>вопрос</w:t>
      </w:r>
      <w:r w:rsidR="00DB633D">
        <w:rPr>
          <w:rFonts w:ascii="Times New Roman" w:hAnsi="Times New Roman" w:cs="Times New Roman"/>
          <w:sz w:val="28"/>
          <w:szCs w:val="28"/>
        </w:rPr>
        <w:t>ы сферы жилищно-коммунального хозяйства и энергетики Камчатского края:</w:t>
      </w:r>
    </w:p>
    <w:p w:rsidR="00C14114" w:rsidRDefault="00C14114" w:rsidP="00361C6C">
      <w:pPr>
        <w:tabs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114">
        <w:rPr>
          <w:rFonts w:ascii="Times New Roman" w:hAnsi="Times New Roman" w:cs="Times New Roman"/>
          <w:sz w:val="28"/>
          <w:szCs w:val="28"/>
        </w:rPr>
        <w:t>о целесообразности введения на территории Камчатского края единого платежного документа на оплату за жилое помещение, коммуналь</w:t>
      </w:r>
      <w:r w:rsidR="00DB633D">
        <w:rPr>
          <w:rFonts w:ascii="Times New Roman" w:hAnsi="Times New Roman" w:cs="Times New Roman"/>
          <w:sz w:val="28"/>
          <w:szCs w:val="28"/>
        </w:rPr>
        <w:t>ные услуги и капитальный ремонт;</w:t>
      </w:r>
    </w:p>
    <w:p w:rsidR="00C14114" w:rsidRPr="00C14114" w:rsidRDefault="00C14114" w:rsidP="00361C6C">
      <w:pPr>
        <w:tabs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114">
        <w:rPr>
          <w:rFonts w:ascii="Times New Roman" w:hAnsi="Times New Roman" w:cs="Times New Roman"/>
          <w:sz w:val="28"/>
          <w:szCs w:val="28"/>
        </w:rPr>
        <w:t>о рассмотрении «Стратегии социально-экономического развития Камчатского края до 2030 года» в части блоков жилищно-коммунальное хозяйство и энергетика;</w:t>
      </w:r>
    </w:p>
    <w:p w:rsidR="002A5943" w:rsidRPr="002A5943" w:rsidRDefault="002A5943" w:rsidP="00361C6C">
      <w:pPr>
        <w:tabs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5943">
        <w:rPr>
          <w:rFonts w:ascii="Times New Roman" w:hAnsi="Times New Roman" w:cs="Times New Roman"/>
          <w:sz w:val="28"/>
          <w:szCs w:val="28"/>
        </w:rPr>
        <w:t xml:space="preserve"> текущем положении энергетической отрасли Камчатского края. </w:t>
      </w:r>
      <w:r w:rsidR="00146AD8">
        <w:rPr>
          <w:rFonts w:ascii="Times New Roman" w:hAnsi="Times New Roman" w:cs="Times New Roman"/>
          <w:sz w:val="28"/>
          <w:szCs w:val="28"/>
        </w:rPr>
        <w:t>О</w:t>
      </w:r>
      <w:r w:rsidRPr="002A5943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Камчатского края до 2030 года с перспективой до 2045 года</w:t>
      </w:r>
      <w:r w:rsidR="00146AD8">
        <w:rPr>
          <w:rFonts w:ascii="Times New Roman" w:hAnsi="Times New Roman" w:cs="Times New Roman"/>
          <w:sz w:val="28"/>
          <w:szCs w:val="28"/>
        </w:rPr>
        <w:t>;</w:t>
      </w:r>
    </w:p>
    <w:p w:rsidR="002A5943" w:rsidRPr="002A5943" w:rsidRDefault="00A4259D" w:rsidP="00361C6C">
      <w:pPr>
        <w:tabs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5943" w:rsidRPr="002A5943">
        <w:rPr>
          <w:rFonts w:ascii="Times New Roman" w:hAnsi="Times New Roman" w:cs="Times New Roman"/>
          <w:sz w:val="28"/>
          <w:szCs w:val="28"/>
        </w:rPr>
        <w:t>б участии представителей Совета</w:t>
      </w:r>
      <w:r w:rsidR="002A5943" w:rsidRPr="002A5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943" w:rsidRPr="002A5943">
        <w:rPr>
          <w:rFonts w:ascii="Times New Roman" w:hAnsi="Times New Roman" w:cs="Times New Roman"/>
          <w:sz w:val="28"/>
          <w:szCs w:val="28"/>
        </w:rPr>
        <w:t>потребителей по вопросам деятельности субъектов естественных монополий в Камчатском крае в органах управления субъектов естествен</w:t>
      </w:r>
      <w:r w:rsidR="00D468FF">
        <w:rPr>
          <w:rFonts w:ascii="Times New Roman" w:hAnsi="Times New Roman" w:cs="Times New Roman"/>
          <w:sz w:val="28"/>
          <w:szCs w:val="28"/>
        </w:rPr>
        <w:t>ных монополий в Камчатском крае.</w:t>
      </w:r>
    </w:p>
    <w:p w:rsidR="00035CFE" w:rsidRPr="004A2EE1" w:rsidRDefault="00E61E7D" w:rsidP="00361C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EE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деятельности Совета размещена</w:t>
      </w:r>
      <w:r w:rsidR="000878A3" w:rsidRPr="004A2E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6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</w:t>
      </w:r>
      <w:r w:rsidR="0068344C">
        <w:rPr>
          <w:rFonts w:ascii="Times New Roman" w:eastAsia="Calibri" w:hAnsi="Times New Roman" w:cs="Times New Roman"/>
          <w:sz w:val="28"/>
          <w:szCs w:val="28"/>
          <w:lang w:eastAsia="ru-RU"/>
        </w:rPr>
        <w:t>сайте Региональной службы по тарифам и ценам Камчатского края</w:t>
      </w:r>
      <w:r w:rsidR="0068344C" w:rsidRPr="004A2E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5CFE" w:rsidRPr="004A2EE1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8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B2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9" w:history="1">
        <w:r w:rsidR="00314B2B" w:rsidRPr="00314B2B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https://www.kamgov.ru/sltarif/subekty-estestvennyh-monopolij/sovet-potrebitelej-po-voprosam-deatelnosti-subektov-estestvennyh-monopolij-v-kamcatskom-krae</w:t>
        </w:r>
      </w:hyperlink>
      <w:r w:rsidR="00314B2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8A094F" w:rsidRDefault="008A094F" w:rsidP="00361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30" w:rsidRDefault="005C4C30" w:rsidP="00361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C30" w:rsidSect="000D0CC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76C"/>
    <w:multiLevelType w:val="hybridMultilevel"/>
    <w:tmpl w:val="FD66E1F8"/>
    <w:lvl w:ilvl="0" w:tplc="9234434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7"/>
    <w:rsid w:val="000329CF"/>
    <w:rsid w:val="00035CFE"/>
    <w:rsid w:val="00056A3C"/>
    <w:rsid w:val="00061A91"/>
    <w:rsid w:val="00083314"/>
    <w:rsid w:val="000878A3"/>
    <w:rsid w:val="000A57E3"/>
    <w:rsid w:val="000D0CCD"/>
    <w:rsid w:val="000D4712"/>
    <w:rsid w:val="000E42DE"/>
    <w:rsid w:val="000F7D33"/>
    <w:rsid w:val="00117202"/>
    <w:rsid w:val="00131D50"/>
    <w:rsid w:val="00146AD8"/>
    <w:rsid w:val="00146D9D"/>
    <w:rsid w:val="001534BC"/>
    <w:rsid w:val="0015694E"/>
    <w:rsid w:val="00156C6B"/>
    <w:rsid w:val="001651B8"/>
    <w:rsid w:val="00166550"/>
    <w:rsid w:val="00166F4C"/>
    <w:rsid w:val="00170F8D"/>
    <w:rsid w:val="001717AE"/>
    <w:rsid w:val="001832B6"/>
    <w:rsid w:val="001A166C"/>
    <w:rsid w:val="0020425B"/>
    <w:rsid w:val="002402AB"/>
    <w:rsid w:val="0024754D"/>
    <w:rsid w:val="002546AA"/>
    <w:rsid w:val="0027028F"/>
    <w:rsid w:val="00282BB2"/>
    <w:rsid w:val="00292B80"/>
    <w:rsid w:val="002A5943"/>
    <w:rsid w:val="002B45C3"/>
    <w:rsid w:val="002F0448"/>
    <w:rsid w:val="00304504"/>
    <w:rsid w:val="003070E9"/>
    <w:rsid w:val="00314B2B"/>
    <w:rsid w:val="00353021"/>
    <w:rsid w:val="00361C6C"/>
    <w:rsid w:val="00362C2B"/>
    <w:rsid w:val="00371CC9"/>
    <w:rsid w:val="00385D10"/>
    <w:rsid w:val="003912DA"/>
    <w:rsid w:val="00441D05"/>
    <w:rsid w:val="004454E0"/>
    <w:rsid w:val="00456D02"/>
    <w:rsid w:val="00471D04"/>
    <w:rsid w:val="004A2EE1"/>
    <w:rsid w:val="004C40C1"/>
    <w:rsid w:val="004E06FD"/>
    <w:rsid w:val="004F1EF0"/>
    <w:rsid w:val="00517B3D"/>
    <w:rsid w:val="00524D4C"/>
    <w:rsid w:val="005821DD"/>
    <w:rsid w:val="005A5C79"/>
    <w:rsid w:val="005B0FE2"/>
    <w:rsid w:val="005C4C30"/>
    <w:rsid w:val="005D0EE6"/>
    <w:rsid w:val="005E52BD"/>
    <w:rsid w:val="00621B20"/>
    <w:rsid w:val="00622CBE"/>
    <w:rsid w:val="00626C51"/>
    <w:rsid w:val="00636548"/>
    <w:rsid w:val="0068344C"/>
    <w:rsid w:val="006D4670"/>
    <w:rsid w:val="006D7822"/>
    <w:rsid w:val="007021F1"/>
    <w:rsid w:val="00712762"/>
    <w:rsid w:val="0071391C"/>
    <w:rsid w:val="00720559"/>
    <w:rsid w:val="00740F1A"/>
    <w:rsid w:val="007635A1"/>
    <w:rsid w:val="007939DD"/>
    <w:rsid w:val="00793CB6"/>
    <w:rsid w:val="007C30A2"/>
    <w:rsid w:val="007E2FFD"/>
    <w:rsid w:val="007F535D"/>
    <w:rsid w:val="00811E2A"/>
    <w:rsid w:val="0083052D"/>
    <w:rsid w:val="00834FA5"/>
    <w:rsid w:val="00890C6F"/>
    <w:rsid w:val="008A094F"/>
    <w:rsid w:val="008A4175"/>
    <w:rsid w:val="008C7356"/>
    <w:rsid w:val="008E0DDD"/>
    <w:rsid w:val="008F5157"/>
    <w:rsid w:val="00902788"/>
    <w:rsid w:val="00913C4E"/>
    <w:rsid w:val="00950E9E"/>
    <w:rsid w:val="0096592E"/>
    <w:rsid w:val="00975A49"/>
    <w:rsid w:val="00975BA6"/>
    <w:rsid w:val="00975D84"/>
    <w:rsid w:val="009808CC"/>
    <w:rsid w:val="00981BAD"/>
    <w:rsid w:val="00997799"/>
    <w:rsid w:val="00A0316F"/>
    <w:rsid w:val="00A031D0"/>
    <w:rsid w:val="00A3222F"/>
    <w:rsid w:val="00A4259D"/>
    <w:rsid w:val="00A435B1"/>
    <w:rsid w:val="00A82EDE"/>
    <w:rsid w:val="00A82F13"/>
    <w:rsid w:val="00A85FF2"/>
    <w:rsid w:val="00A95E12"/>
    <w:rsid w:val="00AD6A42"/>
    <w:rsid w:val="00B05B75"/>
    <w:rsid w:val="00B1208A"/>
    <w:rsid w:val="00B130FC"/>
    <w:rsid w:val="00B15313"/>
    <w:rsid w:val="00B20664"/>
    <w:rsid w:val="00B30691"/>
    <w:rsid w:val="00B30D3D"/>
    <w:rsid w:val="00B467AA"/>
    <w:rsid w:val="00B57F74"/>
    <w:rsid w:val="00B85B0A"/>
    <w:rsid w:val="00B92FC7"/>
    <w:rsid w:val="00BA28D2"/>
    <w:rsid w:val="00BA292D"/>
    <w:rsid w:val="00BB7871"/>
    <w:rsid w:val="00BD40F0"/>
    <w:rsid w:val="00BD6B58"/>
    <w:rsid w:val="00BF359F"/>
    <w:rsid w:val="00BF58EF"/>
    <w:rsid w:val="00C10067"/>
    <w:rsid w:val="00C10ECF"/>
    <w:rsid w:val="00C11AAD"/>
    <w:rsid w:val="00C14114"/>
    <w:rsid w:val="00C36587"/>
    <w:rsid w:val="00C44131"/>
    <w:rsid w:val="00C607C3"/>
    <w:rsid w:val="00C870EF"/>
    <w:rsid w:val="00CB47D8"/>
    <w:rsid w:val="00CE46EC"/>
    <w:rsid w:val="00CE77D9"/>
    <w:rsid w:val="00CF3AB5"/>
    <w:rsid w:val="00CF6325"/>
    <w:rsid w:val="00D149A0"/>
    <w:rsid w:val="00D33344"/>
    <w:rsid w:val="00D37374"/>
    <w:rsid w:val="00D468FF"/>
    <w:rsid w:val="00D560F4"/>
    <w:rsid w:val="00D609F8"/>
    <w:rsid w:val="00D7673C"/>
    <w:rsid w:val="00D772BC"/>
    <w:rsid w:val="00D824C8"/>
    <w:rsid w:val="00D860EB"/>
    <w:rsid w:val="00DA2465"/>
    <w:rsid w:val="00DB633D"/>
    <w:rsid w:val="00DE53E1"/>
    <w:rsid w:val="00DF0A56"/>
    <w:rsid w:val="00E06802"/>
    <w:rsid w:val="00E25CD7"/>
    <w:rsid w:val="00E43099"/>
    <w:rsid w:val="00E465DA"/>
    <w:rsid w:val="00E54194"/>
    <w:rsid w:val="00E61E7D"/>
    <w:rsid w:val="00E764AD"/>
    <w:rsid w:val="00E8022E"/>
    <w:rsid w:val="00EA3A54"/>
    <w:rsid w:val="00EB4E46"/>
    <w:rsid w:val="00EB5A75"/>
    <w:rsid w:val="00ED4AB1"/>
    <w:rsid w:val="00ED51FB"/>
    <w:rsid w:val="00ED5937"/>
    <w:rsid w:val="00EE6DA8"/>
    <w:rsid w:val="00EE7626"/>
    <w:rsid w:val="00EF595D"/>
    <w:rsid w:val="00F05BA5"/>
    <w:rsid w:val="00F1436F"/>
    <w:rsid w:val="00F40932"/>
    <w:rsid w:val="00F43D7E"/>
    <w:rsid w:val="00F45CB3"/>
    <w:rsid w:val="00F678A4"/>
    <w:rsid w:val="00F77B57"/>
    <w:rsid w:val="00F93B47"/>
    <w:rsid w:val="00FC3A3E"/>
    <w:rsid w:val="00FE116C"/>
    <w:rsid w:val="00FE17D1"/>
    <w:rsid w:val="00FE6ACE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56"/>
    <w:rPr>
      <w:color w:val="0563C1" w:themeColor="hyperlink"/>
      <w:u w:val="single"/>
    </w:rPr>
  </w:style>
  <w:style w:type="paragraph" w:customStyle="1" w:styleId="1">
    <w:name w:val="Без интервала1"/>
    <w:next w:val="a4"/>
    <w:uiPriority w:val="1"/>
    <w:qFormat/>
    <w:rsid w:val="00E2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uiPriority w:val="1"/>
    <w:qFormat/>
    <w:rsid w:val="00E25CD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85B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56"/>
    <w:rPr>
      <w:color w:val="0563C1" w:themeColor="hyperlink"/>
      <w:u w:val="single"/>
    </w:rPr>
  </w:style>
  <w:style w:type="paragraph" w:customStyle="1" w:styleId="1">
    <w:name w:val="Без интервала1"/>
    <w:next w:val="a4"/>
    <w:uiPriority w:val="1"/>
    <w:qFormat/>
    <w:rsid w:val="00E2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uiPriority w:val="1"/>
    <w:qFormat/>
    <w:rsid w:val="00E25CD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85B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tarif.kamgov.ru/subekty-estestvennyh-monopolij/sovet-potrebitelej-po-voprosam-deatelnosti-subektov-estestvennyh-monopolij-v-kamcatskom-krae/resenia-po-rezultatam-rassmotrenia-investicionnyh-progra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tarif.kamgov.ru/subekty-estestvennyh-monopolij/sovet-potrebitelej-po-voprosam-deatelnosti-subektov-estestvennyh-monopolij-v-kamcatskom-krae/npa-sovet-port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tarif.kamgov.ru/subekty-estestvennyh-monopolij/sovet-potrebitelej-po-voprosam-deatelnosti-subektov-estestvennyh-monopolij-v-kamcatskom-krae/npa-sovet-port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sltarif/subekty-estestvennyh-monopolij/sovet-potrebitelej-po-voprosam-deatelnosti-subektov-estestvennyh-monopolij-v-kamcatskom-k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Ирина Владимировна</dc:creator>
  <cp:lastModifiedBy>Ковалевская Галина Викторовна</cp:lastModifiedBy>
  <cp:revision>4</cp:revision>
  <cp:lastPrinted>2018-12-14T02:28:00Z</cp:lastPrinted>
  <dcterms:created xsi:type="dcterms:W3CDTF">2019-12-22T21:17:00Z</dcterms:created>
  <dcterms:modified xsi:type="dcterms:W3CDTF">2020-01-22T04:57:00Z</dcterms:modified>
</cp:coreProperties>
</file>