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B5C" w:rsidRDefault="00242B5C" w:rsidP="00155EB5"/>
    <w:tbl>
      <w:tblPr>
        <w:tblW w:w="0" w:type="auto"/>
        <w:tblLook w:val="00A0" w:firstRow="1" w:lastRow="0" w:firstColumn="1" w:lastColumn="0" w:noHBand="0" w:noVBand="0"/>
      </w:tblPr>
      <w:tblGrid>
        <w:gridCol w:w="9571"/>
      </w:tblGrid>
      <w:tr w:rsidR="00044129" w:rsidRPr="007066D7" w:rsidTr="00271AE6">
        <w:trPr>
          <w:trHeight w:val="1105"/>
        </w:trPr>
        <w:tc>
          <w:tcPr>
            <w:tcW w:w="9571" w:type="dxa"/>
          </w:tcPr>
          <w:p w:rsidR="00044129" w:rsidRPr="007066D7" w:rsidRDefault="00044129" w:rsidP="00271AE6">
            <w:pPr>
              <w:jc w:val="center"/>
              <w:rPr>
                <w:sz w:val="28"/>
                <w:szCs w:val="28"/>
              </w:rPr>
            </w:pPr>
            <w:r w:rsidRPr="007066D7">
              <w:rPr>
                <w:noProof/>
              </w:rPr>
              <w:drawing>
                <wp:inline distT="0" distB="0" distL="0" distR="0" wp14:anchorId="0D6D7B9F" wp14:editId="3C2C2A40">
                  <wp:extent cx="647700" cy="809625"/>
                  <wp:effectExtent l="0" t="0" r="0" b="9525"/>
                  <wp:docPr id="3" name="Рисунок 3"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bl>
    <w:p w:rsidR="00044129" w:rsidRPr="007066D7" w:rsidRDefault="00044129" w:rsidP="00044129">
      <w:pPr>
        <w:rPr>
          <w:sz w:val="28"/>
          <w:szCs w:val="28"/>
        </w:rPr>
      </w:pPr>
      <w:r w:rsidRPr="007066D7">
        <w:rPr>
          <w:sz w:val="28"/>
          <w:szCs w:val="28"/>
        </w:rPr>
        <w:t xml:space="preserve">                                                                                                                                                                                                                                                                                    </w:t>
      </w:r>
    </w:p>
    <w:p w:rsidR="00044129" w:rsidRPr="007066D7" w:rsidRDefault="00044129" w:rsidP="00044129">
      <w:pPr>
        <w:jc w:val="center"/>
        <w:rPr>
          <w:b/>
          <w:bCs/>
          <w:sz w:val="28"/>
          <w:szCs w:val="28"/>
        </w:rPr>
      </w:pPr>
      <w:r w:rsidRPr="007066D7">
        <w:rPr>
          <w:b/>
          <w:bCs/>
          <w:sz w:val="28"/>
          <w:szCs w:val="28"/>
        </w:rPr>
        <w:t>РЕГИОНАЛЬНАЯ СЛУЖБА</w:t>
      </w:r>
    </w:p>
    <w:p w:rsidR="00044129" w:rsidRPr="007066D7" w:rsidRDefault="00044129" w:rsidP="00044129">
      <w:pPr>
        <w:jc w:val="center"/>
        <w:rPr>
          <w:b/>
          <w:bCs/>
          <w:sz w:val="28"/>
          <w:szCs w:val="28"/>
        </w:rPr>
      </w:pPr>
      <w:r w:rsidRPr="007066D7">
        <w:rPr>
          <w:b/>
          <w:bCs/>
          <w:sz w:val="28"/>
          <w:szCs w:val="28"/>
        </w:rPr>
        <w:t>ПО ТАРИФАМ И ЦЕНАМ КАМЧАТСКОГО КРАЯ</w:t>
      </w:r>
    </w:p>
    <w:p w:rsidR="00044129" w:rsidRPr="007066D7" w:rsidRDefault="00044129" w:rsidP="00044129">
      <w:pPr>
        <w:jc w:val="center"/>
        <w:rPr>
          <w:b/>
          <w:bCs/>
          <w:sz w:val="28"/>
          <w:szCs w:val="28"/>
        </w:rPr>
      </w:pPr>
    </w:p>
    <w:p w:rsidR="00044129" w:rsidRPr="007066D7" w:rsidRDefault="00044129" w:rsidP="00044129">
      <w:pPr>
        <w:jc w:val="center"/>
        <w:rPr>
          <w:b/>
          <w:bCs/>
          <w:spacing w:val="40"/>
          <w:sz w:val="28"/>
          <w:szCs w:val="28"/>
        </w:rPr>
      </w:pPr>
      <w:r>
        <w:rPr>
          <w:b/>
          <w:bCs/>
          <w:spacing w:val="40"/>
          <w:sz w:val="28"/>
          <w:szCs w:val="28"/>
        </w:rPr>
        <w:t>ПРОЕКТ ПОСТАНОВЛЕНИЯ</w:t>
      </w:r>
    </w:p>
    <w:p w:rsidR="00044129" w:rsidRPr="007066D7" w:rsidRDefault="00044129" w:rsidP="00044129">
      <w:pPr>
        <w:spacing w:line="360" w:lineRule="auto"/>
        <w:jc w:val="center"/>
        <w:rPr>
          <w:sz w:val="16"/>
          <w:szCs w:val="16"/>
        </w:rPr>
      </w:pPr>
    </w:p>
    <w:tbl>
      <w:tblPr>
        <w:tblW w:w="0" w:type="auto"/>
        <w:tblLook w:val="0000" w:firstRow="0" w:lastRow="0" w:firstColumn="0" w:lastColumn="0" w:noHBand="0" w:noVBand="0"/>
      </w:tblPr>
      <w:tblGrid>
        <w:gridCol w:w="2977"/>
        <w:gridCol w:w="445"/>
        <w:gridCol w:w="993"/>
        <w:gridCol w:w="85"/>
      </w:tblGrid>
      <w:tr w:rsidR="00044129" w:rsidRPr="007066D7" w:rsidTr="00271AE6">
        <w:trPr>
          <w:gridAfter w:val="1"/>
          <w:wAfter w:w="85" w:type="dxa"/>
        </w:trPr>
        <w:tc>
          <w:tcPr>
            <w:tcW w:w="2977" w:type="dxa"/>
            <w:tcBorders>
              <w:bottom w:val="single" w:sz="4" w:space="0" w:color="auto"/>
            </w:tcBorders>
          </w:tcPr>
          <w:p w:rsidR="00044129" w:rsidRPr="007066D7" w:rsidRDefault="00044129" w:rsidP="00044129">
            <w:pPr>
              <w:jc w:val="center"/>
            </w:pPr>
            <w:r>
              <w:t>ХХ.12.2019</w:t>
            </w:r>
          </w:p>
        </w:tc>
        <w:tc>
          <w:tcPr>
            <w:tcW w:w="445" w:type="dxa"/>
          </w:tcPr>
          <w:p w:rsidR="00044129" w:rsidRPr="007066D7" w:rsidRDefault="00044129" w:rsidP="00271AE6">
            <w:pPr>
              <w:jc w:val="both"/>
            </w:pPr>
            <w:r w:rsidRPr="007066D7">
              <w:t>№</w:t>
            </w:r>
          </w:p>
        </w:tc>
        <w:tc>
          <w:tcPr>
            <w:tcW w:w="993" w:type="dxa"/>
            <w:tcBorders>
              <w:bottom w:val="single" w:sz="4" w:space="0" w:color="auto"/>
            </w:tcBorders>
          </w:tcPr>
          <w:p w:rsidR="00044129" w:rsidRPr="007066D7" w:rsidRDefault="00044129" w:rsidP="00044129">
            <w:pPr>
              <w:jc w:val="center"/>
            </w:pPr>
            <w:r>
              <w:t>ХХ</w:t>
            </w:r>
          </w:p>
        </w:tc>
      </w:tr>
      <w:tr w:rsidR="00044129" w:rsidRPr="007066D7" w:rsidTr="00271AE6">
        <w:tblPrEx>
          <w:tblLook w:val="00A0" w:firstRow="1" w:lastRow="0" w:firstColumn="1" w:lastColumn="0" w:noHBand="0" w:noVBand="0"/>
        </w:tblPrEx>
        <w:tc>
          <w:tcPr>
            <w:tcW w:w="4500" w:type="dxa"/>
            <w:gridSpan w:val="4"/>
          </w:tcPr>
          <w:p w:rsidR="00044129" w:rsidRPr="002810BB" w:rsidRDefault="00044129" w:rsidP="00271AE6">
            <w:pPr>
              <w:jc w:val="both"/>
              <w:rPr>
                <w:sz w:val="36"/>
                <w:vertAlign w:val="superscript"/>
              </w:rPr>
            </w:pPr>
            <w:r w:rsidRPr="007066D7">
              <w:rPr>
                <w:sz w:val="36"/>
                <w:vertAlign w:val="superscript"/>
              </w:rPr>
              <w:t xml:space="preserve">             г. Петропавловск-Камчатский</w:t>
            </w:r>
          </w:p>
          <w:p w:rsidR="00044129" w:rsidRPr="008942FD" w:rsidRDefault="00044129" w:rsidP="00044129">
            <w:pPr>
              <w:ind w:left="-108"/>
              <w:jc w:val="both"/>
              <w:rPr>
                <w:sz w:val="28"/>
                <w:szCs w:val="28"/>
              </w:rPr>
            </w:pPr>
            <w:r w:rsidRPr="00205A32">
              <w:rPr>
                <w:sz w:val="28"/>
                <w:szCs w:val="28"/>
              </w:rPr>
              <w:t xml:space="preserve">Об утверждении тарифов на электрическую энергию, поставляемую </w:t>
            </w:r>
            <w:r w:rsidRPr="00205A32">
              <w:rPr>
                <w:bCs/>
                <w:sz w:val="28"/>
                <w:szCs w:val="28"/>
              </w:rPr>
              <w:t>АО «</w:t>
            </w:r>
            <w:r w:rsidRPr="00166677">
              <w:rPr>
                <w:bCs/>
                <w:sz w:val="28"/>
                <w:szCs w:val="28"/>
              </w:rPr>
              <w:t xml:space="preserve">Корякэнерго» по объектам электроснабжения горнодобывающих предприятий, осуществляющих деятельность </w:t>
            </w:r>
            <w:r>
              <w:rPr>
                <w:bCs/>
                <w:sz w:val="28"/>
                <w:szCs w:val="28"/>
              </w:rPr>
              <w:t>на территории</w:t>
            </w:r>
            <w:r w:rsidRPr="00166677">
              <w:rPr>
                <w:bCs/>
                <w:sz w:val="28"/>
                <w:szCs w:val="28"/>
              </w:rPr>
              <w:t xml:space="preserve"> </w:t>
            </w:r>
            <w:r w:rsidRPr="00166677">
              <w:rPr>
                <w:sz w:val="28"/>
                <w:szCs w:val="28"/>
              </w:rPr>
              <w:t>Карагинско</w:t>
            </w:r>
            <w:r>
              <w:rPr>
                <w:sz w:val="28"/>
                <w:szCs w:val="28"/>
              </w:rPr>
              <w:t>го</w:t>
            </w:r>
            <w:r w:rsidRPr="00166677">
              <w:rPr>
                <w:sz w:val="28"/>
                <w:szCs w:val="28"/>
              </w:rPr>
              <w:t xml:space="preserve"> муниципально</w:t>
            </w:r>
            <w:r>
              <w:rPr>
                <w:sz w:val="28"/>
                <w:szCs w:val="28"/>
              </w:rPr>
              <w:t>го</w:t>
            </w:r>
            <w:r w:rsidRPr="00166677">
              <w:rPr>
                <w:sz w:val="28"/>
                <w:szCs w:val="28"/>
              </w:rPr>
              <w:t xml:space="preserve"> район</w:t>
            </w:r>
            <w:r>
              <w:rPr>
                <w:sz w:val="28"/>
                <w:szCs w:val="28"/>
              </w:rPr>
              <w:t>а</w:t>
            </w:r>
            <w:r w:rsidRPr="00166677">
              <w:rPr>
                <w:sz w:val="28"/>
                <w:szCs w:val="28"/>
              </w:rPr>
              <w:t xml:space="preserve"> Камчатского края, месторождение «Озерновское»</w:t>
            </w:r>
            <w:r w:rsidRPr="00166677">
              <w:rPr>
                <w:b/>
                <w:sz w:val="28"/>
                <w:szCs w:val="28"/>
              </w:rPr>
              <w:t xml:space="preserve">, </w:t>
            </w:r>
            <w:r w:rsidRPr="00166677">
              <w:rPr>
                <w:sz w:val="28"/>
                <w:szCs w:val="28"/>
              </w:rPr>
              <w:t>Елизовско</w:t>
            </w:r>
            <w:r>
              <w:rPr>
                <w:sz w:val="28"/>
                <w:szCs w:val="28"/>
              </w:rPr>
              <w:t>го</w:t>
            </w:r>
            <w:r w:rsidRPr="00166677">
              <w:rPr>
                <w:sz w:val="28"/>
                <w:szCs w:val="28"/>
              </w:rPr>
              <w:t xml:space="preserve"> муниципально</w:t>
            </w:r>
            <w:r>
              <w:rPr>
                <w:sz w:val="28"/>
                <w:szCs w:val="28"/>
              </w:rPr>
              <w:t>го</w:t>
            </w:r>
            <w:r w:rsidRPr="00166677">
              <w:rPr>
                <w:sz w:val="28"/>
                <w:szCs w:val="28"/>
              </w:rPr>
              <w:t xml:space="preserve"> район</w:t>
            </w:r>
            <w:r>
              <w:rPr>
                <w:sz w:val="28"/>
                <w:szCs w:val="28"/>
              </w:rPr>
              <w:t>а</w:t>
            </w:r>
            <w:r w:rsidRPr="00166677">
              <w:rPr>
                <w:sz w:val="28"/>
                <w:szCs w:val="28"/>
              </w:rPr>
              <w:t xml:space="preserve"> Камчатского края, месторождение «Асачинское»</w:t>
            </w:r>
            <w:r>
              <w:rPr>
                <w:sz w:val="28"/>
                <w:szCs w:val="28"/>
              </w:rPr>
              <w:t>,</w:t>
            </w:r>
            <w:r w:rsidRPr="00166677">
              <w:rPr>
                <w:sz w:val="28"/>
                <w:szCs w:val="28"/>
              </w:rPr>
              <w:t xml:space="preserve"> </w:t>
            </w:r>
            <w:r>
              <w:rPr>
                <w:bCs/>
                <w:sz w:val="28"/>
                <w:szCs w:val="28"/>
              </w:rPr>
              <w:t>на 2020 – 2022 годы</w:t>
            </w:r>
          </w:p>
        </w:tc>
      </w:tr>
    </w:tbl>
    <w:p w:rsidR="00044129" w:rsidRPr="007066D7" w:rsidRDefault="00044129" w:rsidP="00044129">
      <w:pPr>
        <w:ind w:firstLine="709"/>
        <w:jc w:val="both"/>
        <w:rPr>
          <w:sz w:val="28"/>
          <w:szCs w:val="28"/>
        </w:rPr>
      </w:pPr>
    </w:p>
    <w:p w:rsidR="00044129" w:rsidRPr="00044129" w:rsidRDefault="00044129" w:rsidP="00044129">
      <w:pPr>
        <w:ind w:firstLine="709"/>
        <w:jc w:val="both"/>
        <w:rPr>
          <w:rFonts w:eastAsia="Calibri"/>
          <w:bCs/>
          <w:sz w:val="28"/>
          <w:szCs w:val="28"/>
        </w:rPr>
      </w:pPr>
      <w:r w:rsidRPr="00044129">
        <w:rPr>
          <w:rFonts w:eastAsia="Calibri"/>
          <w:bCs/>
          <w:sz w:val="28"/>
          <w:szCs w:val="28"/>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приказами Федеральной службы по тарифам России от 17.02.2012 № 98-э «Об утверждении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w:t>
      </w:r>
      <w:r w:rsidRPr="00044129">
        <w:rPr>
          <w:rFonts w:eastAsia="Calibri"/>
          <w:sz w:val="28"/>
          <w:szCs w:val="28"/>
        </w:rPr>
        <w:t xml:space="preserve">от 18.03.2015 № 421-э «Об утверждении Методических указаний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и внесении изменений в приказы ФСТ России от 17.02.2012 № 98-э и от 30.03.2012 № 228-э», </w:t>
      </w:r>
      <w:r w:rsidRPr="00044129">
        <w:rPr>
          <w:rFonts w:eastAsia="Calibri"/>
          <w:bCs/>
          <w:sz w:val="28"/>
          <w:szCs w:val="28"/>
        </w:rPr>
        <w:t>от 26.10.2010 № 254-э/1 «О</w:t>
      </w:r>
      <w:r w:rsidRPr="00044129">
        <w:rPr>
          <w:rFonts w:eastAsia="Calibri"/>
          <w:sz w:val="28"/>
          <w:szCs w:val="28"/>
        </w:rPr>
        <w:t xml:space="preserve">б утверждении методических указаний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 </w:t>
      </w:r>
      <w:r w:rsidRPr="00044129">
        <w:rPr>
          <w:rFonts w:eastAsia="Calibri"/>
          <w:sz w:val="28"/>
        </w:rPr>
        <w:t>приказами ФАС России от 29.05.2019 № 686/19 «Об утверждении Методических указаний по расчету регулируемых цен (тарифов) на электрическую энергию (мощность), по</w:t>
      </w:r>
      <w:r w:rsidRPr="00044129">
        <w:rPr>
          <w:rFonts w:eastAsia="Calibri"/>
          <w:sz w:val="28"/>
        </w:rPr>
        <w:lastRenderedPageBreak/>
        <w:t xml:space="preserve">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w:t>
      </w:r>
      <w:r w:rsidRPr="00044129">
        <w:rPr>
          <w:rFonts w:eastAsia="Calibri"/>
          <w:bCs/>
          <w:sz w:val="28"/>
          <w:szCs w:val="28"/>
        </w:rPr>
        <w:t xml:space="preserve">от 19.06.2018 №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 </w:t>
      </w:r>
      <w:r w:rsidRPr="00044129">
        <w:rPr>
          <w:rFonts w:eastAsia="Calibri"/>
          <w:sz w:val="28"/>
          <w:szCs w:val="28"/>
        </w:rPr>
        <w:t xml:space="preserve">от 25.06.2019 № 828/19-ДСП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2020 год», </w:t>
      </w:r>
      <w:r w:rsidRPr="00044129">
        <w:rPr>
          <w:rFonts w:eastAsia="Calibri"/>
          <w:bCs/>
          <w:sz w:val="28"/>
          <w:szCs w:val="28"/>
        </w:rPr>
        <w:t>приказом Минэнерго России от 29.11.2016 № 1256 «О</w:t>
      </w:r>
      <w:r w:rsidRPr="00044129">
        <w:rPr>
          <w:rFonts w:eastAsia="Calibri"/>
          <w:sz w:val="28"/>
          <w:szCs w:val="28"/>
        </w:rPr>
        <w:t>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w:t>
      </w:r>
      <w:r w:rsidRPr="00044129">
        <w:rPr>
          <w:rFonts w:eastAsia="Calibri"/>
          <w:bCs/>
          <w:sz w:val="28"/>
          <w:szCs w:val="28"/>
        </w:rPr>
        <w:t xml:space="preserve">, постановлением Правительства Камчатского края от 19.12.2008 № 424-П «Об  утверждении Положения о Региональной службе по тарифам и ценам Камчатского края», </w:t>
      </w:r>
      <w:r w:rsidRPr="00044129">
        <w:rPr>
          <w:rFonts w:eastAsia="Calibri"/>
          <w:sz w:val="28"/>
          <w:szCs w:val="28"/>
        </w:rPr>
        <w:t xml:space="preserve">на основании заявления АО «Корякэнерго» </w:t>
      </w:r>
      <w:r w:rsidR="00A63E37" w:rsidRPr="00A63E37">
        <w:rPr>
          <w:rFonts w:eastAsia="Calibri"/>
          <w:sz w:val="28"/>
          <w:szCs w:val="28"/>
        </w:rPr>
        <w:t>от 30.04.2019 № 1208/03</w:t>
      </w:r>
      <w:r w:rsidRPr="00044129">
        <w:rPr>
          <w:rFonts w:eastAsia="Calibri"/>
          <w:sz w:val="28"/>
          <w:szCs w:val="28"/>
        </w:rPr>
        <w:t xml:space="preserve">, </w:t>
      </w:r>
      <w:r w:rsidRPr="00044129">
        <w:rPr>
          <w:rFonts w:eastAsia="Calibri"/>
          <w:bCs/>
          <w:sz w:val="28"/>
          <w:szCs w:val="28"/>
        </w:rPr>
        <w:t>протоколом Правления Региональной службы по тарифам и ценам Камчатского края от ХХ.12.2019 № ХХ</w:t>
      </w:r>
    </w:p>
    <w:p w:rsidR="00044129" w:rsidRDefault="00044129" w:rsidP="00044129">
      <w:pPr>
        <w:ind w:firstLine="709"/>
        <w:jc w:val="both"/>
        <w:rPr>
          <w:sz w:val="28"/>
          <w:szCs w:val="28"/>
        </w:rPr>
      </w:pPr>
    </w:p>
    <w:p w:rsidR="00044129" w:rsidRDefault="00044129" w:rsidP="00044129">
      <w:pPr>
        <w:ind w:firstLine="709"/>
        <w:jc w:val="both"/>
        <w:rPr>
          <w:sz w:val="28"/>
          <w:szCs w:val="28"/>
        </w:rPr>
      </w:pPr>
      <w:r w:rsidRPr="00900A62">
        <w:rPr>
          <w:sz w:val="28"/>
          <w:szCs w:val="28"/>
        </w:rPr>
        <w:t>ПОСТАНОВЛЯЮ:</w:t>
      </w:r>
    </w:p>
    <w:p w:rsidR="00044129" w:rsidRPr="00900A62" w:rsidRDefault="00044129" w:rsidP="00044129">
      <w:pPr>
        <w:ind w:firstLine="709"/>
        <w:jc w:val="both"/>
        <w:rPr>
          <w:sz w:val="28"/>
          <w:szCs w:val="28"/>
        </w:rPr>
      </w:pPr>
    </w:p>
    <w:p w:rsidR="00271AE6" w:rsidRPr="00271AE6" w:rsidRDefault="00271AE6" w:rsidP="00271AE6">
      <w:pPr>
        <w:autoSpaceDE w:val="0"/>
        <w:autoSpaceDN w:val="0"/>
        <w:adjustRightInd w:val="0"/>
        <w:ind w:firstLine="709"/>
        <w:jc w:val="both"/>
        <w:rPr>
          <w:sz w:val="28"/>
          <w:szCs w:val="28"/>
        </w:rPr>
      </w:pPr>
      <w:r w:rsidRPr="00271AE6">
        <w:rPr>
          <w:rFonts w:eastAsia="Calibri"/>
          <w:sz w:val="28"/>
          <w:szCs w:val="28"/>
          <w:lang w:eastAsia="en-US"/>
        </w:rPr>
        <w:t xml:space="preserve">1. </w:t>
      </w:r>
      <w:r w:rsidRPr="00271AE6">
        <w:rPr>
          <w:sz w:val="28"/>
          <w:szCs w:val="28"/>
        </w:rPr>
        <w:t xml:space="preserve">Утвердить </w:t>
      </w:r>
      <w:hyperlink r:id="rId9" w:history="1">
        <w:r w:rsidRPr="00271AE6">
          <w:rPr>
            <w:sz w:val="28"/>
            <w:szCs w:val="28"/>
          </w:rPr>
          <w:t>долгосрочные параметры</w:t>
        </w:r>
      </w:hyperlink>
      <w:r w:rsidRPr="00271AE6">
        <w:rPr>
          <w:sz w:val="28"/>
          <w:szCs w:val="28"/>
        </w:rPr>
        <w:t xml:space="preserve"> регулирования, устанавливаемые для формирования тарифов с использованием метода долгосрочной индексации необходимой валовой выручки на 2020-2022 годы, в отношении деятельности АО «</w:t>
      </w:r>
      <w:r w:rsidRPr="00271AE6">
        <w:rPr>
          <w:bCs/>
          <w:sz w:val="28"/>
          <w:szCs w:val="28"/>
        </w:rPr>
        <w:t>Корякэнерго</w:t>
      </w:r>
      <w:r w:rsidRPr="00271AE6">
        <w:rPr>
          <w:sz w:val="28"/>
          <w:szCs w:val="28"/>
        </w:rPr>
        <w:t>» по производству электрической энергии (мощности) в технологически изолированных  территориальных электроэнергетических системах, согласно приложению 1.</w:t>
      </w:r>
    </w:p>
    <w:p w:rsidR="006846DF" w:rsidRPr="00D77746" w:rsidRDefault="006846DF" w:rsidP="006846DF">
      <w:pPr>
        <w:tabs>
          <w:tab w:val="num" w:pos="720"/>
        </w:tabs>
        <w:ind w:firstLine="709"/>
        <w:jc w:val="both"/>
        <w:rPr>
          <w:sz w:val="28"/>
        </w:rPr>
      </w:pPr>
      <w:r>
        <w:rPr>
          <w:sz w:val="28"/>
        </w:rPr>
        <w:t>2</w:t>
      </w:r>
      <w:r>
        <w:rPr>
          <w:sz w:val="28"/>
        </w:rPr>
        <w:t>.</w:t>
      </w:r>
      <w:r w:rsidRPr="00D77746">
        <w:rPr>
          <w:sz w:val="28"/>
        </w:rPr>
        <w:t xml:space="preserve"> Утвердить и ввести в действие на 20</w:t>
      </w:r>
      <w:r>
        <w:rPr>
          <w:sz w:val="28"/>
        </w:rPr>
        <w:t>20</w:t>
      </w:r>
      <w:r w:rsidRPr="00D77746">
        <w:rPr>
          <w:sz w:val="28"/>
        </w:rPr>
        <w:t xml:space="preserve"> </w:t>
      </w:r>
      <w:r>
        <w:rPr>
          <w:sz w:val="28"/>
        </w:rPr>
        <w:t xml:space="preserve">– 2022 </w:t>
      </w:r>
      <w:r w:rsidRPr="00D77746">
        <w:rPr>
          <w:sz w:val="28"/>
        </w:rPr>
        <w:t>год</w:t>
      </w:r>
      <w:r>
        <w:rPr>
          <w:sz w:val="28"/>
        </w:rPr>
        <w:t>ы</w:t>
      </w:r>
      <w:r w:rsidRPr="00D77746">
        <w:rPr>
          <w:bCs/>
          <w:sz w:val="28"/>
        </w:rPr>
        <w:t xml:space="preserve"> экономически обоснованные тарифы на электрическую энергию (мощность), поставляемую АО «Корякэнерго» </w:t>
      </w:r>
      <w:r w:rsidRPr="00F60A2D">
        <w:rPr>
          <w:sz w:val="28"/>
          <w:szCs w:val="28"/>
        </w:rPr>
        <w:t xml:space="preserve">по объектам электроснабжения горнодобывающих предприятий, осуществляющих деятельность </w:t>
      </w:r>
      <w:r>
        <w:rPr>
          <w:sz w:val="28"/>
          <w:szCs w:val="28"/>
        </w:rPr>
        <w:t>на территории</w:t>
      </w:r>
      <w:r w:rsidRPr="00F60A2D">
        <w:rPr>
          <w:sz w:val="28"/>
          <w:szCs w:val="28"/>
        </w:rPr>
        <w:t xml:space="preserve"> Карагинско</w:t>
      </w:r>
      <w:r>
        <w:rPr>
          <w:sz w:val="28"/>
          <w:szCs w:val="28"/>
        </w:rPr>
        <w:t>го</w:t>
      </w:r>
      <w:r w:rsidRPr="00F60A2D">
        <w:rPr>
          <w:sz w:val="28"/>
          <w:szCs w:val="28"/>
        </w:rPr>
        <w:t xml:space="preserve"> муниципально</w:t>
      </w:r>
      <w:r>
        <w:rPr>
          <w:sz w:val="28"/>
          <w:szCs w:val="28"/>
        </w:rPr>
        <w:t>го</w:t>
      </w:r>
      <w:r w:rsidRPr="00F60A2D">
        <w:rPr>
          <w:sz w:val="28"/>
          <w:szCs w:val="28"/>
        </w:rPr>
        <w:t xml:space="preserve"> район</w:t>
      </w:r>
      <w:r>
        <w:rPr>
          <w:sz w:val="28"/>
          <w:szCs w:val="28"/>
        </w:rPr>
        <w:t>а</w:t>
      </w:r>
      <w:r w:rsidRPr="00F60A2D">
        <w:rPr>
          <w:sz w:val="28"/>
          <w:szCs w:val="28"/>
        </w:rPr>
        <w:t xml:space="preserve"> Камчатского края, месторождение «Озерновское», Елизовско</w:t>
      </w:r>
      <w:r>
        <w:rPr>
          <w:sz w:val="28"/>
          <w:szCs w:val="28"/>
        </w:rPr>
        <w:t>го</w:t>
      </w:r>
      <w:r w:rsidRPr="00F60A2D">
        <w:rPr>
          <w:sz w:val="28"/>
          <w:szCs w:val="28"/>
        </w:rPr>
        <w:t xml:space="preserve"> муниципально</w:t>
      </w:r>
      <w:r>
        <w:rPr>
          <w:sz w:val="28"/>
          <w:szCs w:val="28"/>
        </w:rPr>
        <w:t>го района</w:t>
      </w:r>
      <w:r w:rsidRPr="00F60A2D">
        <w:rPr>
          <w:sz w:val="28"/>
          <w:szCs w:val="28"/>
        </w:rPr>
        <w:t xml:space="preserve"> Камчатского края, месторождение «Асачинское» покупателям на розничном рынке в технологически изолированной электроэнергетической системе по договорам купли-продажи (договорам энергоснабжения)</w:t>
      </w:r>
      <w:r>
        <w:rPr>
          <w:sz w:val="28"/>
          <w:szCs w:val="28"/>
        </w:rPr>
        <w:t>,</w:t>
      </w:r>
      <w:r w:rsidRPr="00D77746">
        <w:rPr>
          <w:sz w:val="28"/>
        </w:rPr>
        <w:t xml:space="preserve"> согласно пр</w:t>
      </w:r>
      <w:r w:rsidRPr="00D77746">
        <w:rPr>
          <w:sz w:val="28"/>
        </w:rPr>
        <w:t>и</w:t>
      </w:r>
      <w:r w:rsidRPr="00D77746">
        <w:rPr>
          <w:sz w:val="28"/>
        </w:rPr>
        <w:t xml:space="preserve">ложению </w:t>
      </w:r>
      <w:r>
        <w:rPr>
          <w:sz w:val="28"/>
        </w:rPr>
        <w:t>2</w:t>
      </w:r>
      <w:r w:rsidRPr="00D77746">
        <w:rPr>
          <w:sz w:val="28"/>
        </w:rPr>
        <w:t>;</w:t>
      </w:r>
    </w:p>
    <w:p w:rsidR="006846DF" w:rsidRPr="00166677" w:rsidRDefault="006846DF" w:rsidP="006846DF">
      <w:pPr>
        <w:ind w:firstLine="709"/>
        <w:jc w:val="both"/>
        <w:rPr>
          <w:bCs/>
          <w:sz w:val="28"/>
          <w:szCs w:val="28"/>
        </w:rPr>
      </w:pPr>
      <w:r>
        <w:rPr>
          <w:sz w:val="28"/>
        </w:rPr>
        <w:t xml:space="preserve">3. </w:t>
      </w:r>
      <w:r w:rsidRPr="006846DF">
        <w:rPr>
          <w:sz w:val="28"/>
        </w:rPr>
        <w:t>Утвердить и ввести в действие на 2020 – 2022 годы</w:t>
      </w:r>
      <w:r w:rsidRPr="006846DF">
        <w:rPr>
          <w:sz w:val="28"/>
          <w:szCs w:val="28"/>
        </w:rPr>
        <w:t xml:space="preserve"> тарифы на электрическую энергию (мощность), отпускаемую АО «Корякэнерго» </w:t>
      </w:r>
      <w:r w:rsidRPr="00166677">
        <w:rPr>
          <w:sz w:val="28"/>
          <w:szCs w:val="28"/>
        </w:rPr>
        <w:t xml:space="preserve">по объектам электроснабжения горнодобывающих предприятий, осуществляющих деятельность </w:t>
      </w:r>
      <w:r>
        <w:rPr>
          <w:sz w:val="28"/>
          <w:szCs w:val="28"/>
        </w:rPr>
        <w:t>на территории</w:t>
      </w:r>
      <w:r w:rsidRPr="00166677">
        <w:rPr>
          <w:sz w:val="28"/>
          <w:szCs w:val="28"/>
        </w:rPr>
        <w:t xml:space="preserve"> Карагинско</w:t>
      </w:r>
      <w:r>
        <w:rPr>
          <w:sz w:val="28"/>
          <w:szCs w:val="28"/>
        </w:rPr>
        <w:t>го</w:t>
      </w:r>
      <w:r w:rsidRPr="00166677">
        <w:rPr>
          <w:sz w:val="28"/>
          <w:szCs w:val="28"/>
        </w:rPr>
        <w:t xml:space="preserve"> муниципально</w:t>
      </w:r>
      <w:r>
        <w:rPr>
          <w:sz w:val="28"/>
          <w:szCs w:val="28"/>
        </w:rPr>
        <w:t>го</w:t>
      </w:r>
      <w:r w:rsidRPr="00166677">
        <w:rPr>
          <w:sz w:val="28"/>
          <w:szCs w:val="28"/>
        </w:rPr>
        <w:t xml:space="preserve"> район</w:t>
      </w:r>
      <w:r>
        <w:rPr>
          <w:sz w:val="28"/>
          <w:szCs w:val="28"/>
        </w:rPr>
        <w:t>а</w:t>
      </w:r>
      <w:r w:rsidRPr="00166677">
        <w:rPr>
          <w:sz w:val="28"/>
          <w:szCs w:val="28"/>
        </w:rPr>
        <w:t xml:space="preserve"> Камчатского края, месторождение «Озерновское», Елизовско</w:t>
      </w:r>
      <w:r>
        <w:rPr>
          <w:sz w:val="28"/>
          <w:szCs w:val="28"/>
        </w:rPr>
        <w:t>го</w:t>
      </w:r>
      <w:r w:rsidRPr="00166677">
        <w:rPr>
          <w:sz w:val="28"/>
          <w:szCs w:val="28"/>
        </w:rPr>
        <w:t xml:space="preserve"> муниципально</w:t>
      </w:r>
      <w:r>
        <w:rPr>
          <w:sz w:val="28"/>
          <w:szCs w:val="28"/>
        </w:rPr>
        <w:t>го</w:t>
      </w:r>
      <w:r w:rsidRPr="00166677">
        <w:rPr>
          <w:sz w:val="28"/>
          <w:szCs w:val="28"/>
        </w:rPr>
        <w:t xml:space="preserve"> район</w:t>
      </w:r>
      <w:r>
        <w:rPr>
          <w:sz w:val="28"/>
          <w:szCs w:val="28"/>
        </w:rPr>
        <w:t>а</w:t>
      </w:r>
      <w:r w:rsidRPr="00166677">
        <w:rPr>
          <w:sz w:val="28"/>
          <w:szCs w:val="28"/>
        </w:rPr>
        <w:t xml:space="preserve"> Камчатского края, месторождение «Асачинское»</w:t>
      </w:r>
      <w:r>
        <w:rPr>
          <w:sz w:val="28"/>
          <w:szCs w:val="28"/>
        </w:rPr>
        <w:t xml:space="preserve">, </w:t>
      </w:r>
      <w:r w:rsidRPr="006846DF">
        <w:rPr>
          <w:sz w:val="28"/>
          <w:szCs w:val="28"/>
        </w:rPr>
        <w:t xml:space="preserve">другим гарантирующим поставщикам, энергоснабжающим, энергосбытовым организациям Камчатского края в целях поставки группе «прочие потребители» и группе «сетевые организации, покупающие электрическую энергию для компенсации потерь» на розничных рынках в технологически изолированных территориальных 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r w:rsidRPr="006846DF">
        <w:rPr>
          <w:rFonts w:eastAsia="Calibri"/>
          <w:sz w:val="28"/>
          <w:szCs w:val="28"/>
        </w:rPr>
        <w:t>с календарной разбивкой</w:t>
      </w:r>
      <w:r>
        <w:rPr>
          <w:rFonts w:eastAsia="Calibri"/>
          <w:sz w:val="28"/>
          <w:szCs w:val="28"/>
        </w:rPr>
        <w:t xml:space="preserve">, </w:t>
      </w:r>
      <w:r w:rsidRPr="00166677">
        <w:rPr>
          <w:sz w:val="28"/>
          <w:szCs w:val="28"/>
        </w:rPr>
        <w:t xml:space="preserve">согласно приложению </w:t>
      </w:r>
      <w:r>
        <w:rPr>
          <w:sz w:val="28"/>
          <w:szCs w:val="28"/>
        </w:rPr>
        <w:t>3;</w:t>
      </w:r>
    </w:p>
    <w:p w:rsidR="00044129" w:rsidRDefault="00271AE6" w:rsidP="00044129">
      <w:pPr>
        <w:pStyle w:val="af7"/>
        <w:tabs>
          <w:tab w:val="left" w:pos="1168"/>
        </w:tabs>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044129">
        <w:rPr>
          <w:rFonts w:ascii="Times New Roman" w:hAnsi="Times New Roman"/>
          <w:sz w:val="28"/>
          <w:szCs w:val="28"/>
        </w:rPr>
        <w:t xml:space="preserve">. </w:t>
      </w:r>
      <w:r w:rsidR="00044129" w:rsidRPr="00FB2D16">
        <w:rPr>
          <w:rFonts w:ascii="Times New Roman" w:hAnsi="Times New Roman"/>
          <w:sz w:val="28"/>
          <w:szCs w:val="28"/>
        </w:rPr>
        <w:t xml:space="preserve">Настоящее постановление вступает в силу </w:t>
      </w:r>
      <w:r w:rsidR="00044129">
        <w:rPr>
          <w:rFonts w:ascii="Times New Roman" w:hAnsi="Times New Roman"/>
          <w:sz w:val="28"/>
          <w:szCs w:val="28"/>
        </w:rPr>
        <w:t>через десять дней после</w:t>
      </w:r>
      <w:r w:rsidR="00044129" w:rsidRPr="00FB2D16">
        <w:rPr>
          <w:rFonts w:ascii="Times New Roman" w:hAnsi="Times New Roman"/>
          <w:sz w:val="28"/>
          <w:szCs w:val="28"/>
        </w:rPr>
        <w:t xml:space="preserve"> </w:t>
      </w:r>
      <w:r w:rsidR="00044129">
        <w:rPr>
          <w:rFonts w:ascii="Times New Roman" w:hAnsi="Times New Roman"/>
          <w:sz w:val="28"/>
          <w:szCs w:val="28"/>
        </w:rPr>
        <w:t xml:space="preserve">дня </w:t>
      </w:r>
      <w:r w:rsidR="00044129" w:rsidRPr="00FB2D16">
        <w:rPr>
          <w:rFonts w:ascii="Times New Roman" w:hAnsi="Times New Roman"/>
          <w:sz w:val="28"/>
          <w:szCs w:val="28"/>
        </w:rPr>
        <w:t>его официального опубликования.</w:t>
      </w:r>
    </w:p>
    <w:p w:rsidR="00411DF3" w:rsidRDefault="00411DF3" w:rsidP="00155EB5"/>
    <w:p w:rsidR="00411DF3" w:rsidRDefault="00411DF3" w:rsidP="00155EB5"/>
    <w:p w:rsidR="00411DF3" w:rsidRDefault="00411DF3" w:rsidP="00155EB5"/>
    <w:p w:rsidR="00271AE6" w:rsidRPr="00271AE6" w:rsidRDefault="00271AE6" w:rsidP="00271AE6">
      <w:pPr>
        <w:jc w:val="both"/>
        <w:rPr>
          <w:rFonts w:eastAsia="Calibri"/>
          <w:sz w:val="28"/>
          <w:szCs w:val="28"/>
        </w:rPr>
        <w:sectPr w:rsidR="00271AE6" w:rsidRPr="00271AE6" w:rsidSect="00271AE6">
          <w:pgSz w:w="11906" w:h="16838"/>
          <w:pgMar w:top="1134" w:right="567" w:bottom="1134" w:left="1134" w:header="709" w:footer="709" w:gutter="0"/>
          <w:cols w:space="708"/>
          <w:docGrid w:linePitch="360"/>
        </w:sectPr>
      </w:pPr>
      <w:r w:rsidRPr="00271AE6">
        <w:rPr>
          <w:rFonts w:eastAsia="Calibri"/>
          <w:sz w:val="28"/>
          <w:szCs w:val="28"/>
        </w:rPr>
        <w:t>Руководитель                                                                                               И.В. Лагуткина</w:t>
      </w:r>
    </w:p>
    <w:p w:rsidR="00271AE6" w:rsidRPr="00271AE6" w:rsidRDefault="00271AE6" w:rsidP="00271AE6">
      <w:pPr>
        <w:widowControl w:val="0"/>
        <w:ind w:left="9356" w:firstLine="283"/>
        <w:rPr>
          <w:rFonts w:eastAsia="Calibri"/>
          <w:sz w:val="28"/>
        </w:rPr>
      </w:pPr>
      <w:r w:rsidRPr="00271AE6">
        <w:rPr>
          <w:rFonts w:eastAsia="Calibri"/>
          <w:sz w:val="28"/>
        </w:rPr>
        <w:lastRenderedPageBreak/>
        <w:t>Приложение 1</w:t>
      </w:r>
    </w:p>
    <w:p w:rsidR="00271AE6" w:rsidRPr="00271AE6" w:rsidRDefault="00271AE6" w:rsidP="00271AE6">
      <w:pPr>
        <w:widowControl w:val="0"/>
        <w:ind w:left="9356" w:firstLine="283"/>
        <w:rPr>
          <w:rFonts w:eastAsia="Calibri"/>
          <w:sz w:val="28"/>
        </w:rPr>
      </w:pPr>
      <w:r w:rsidRPr="00271AE6">
        <w:rPr>
          <w:rFonts w:eastAsia="Calibri"/>
          <w:sz w:val="28"/>
        </w:rPr>
        <w:t>к постановлению Региональной службы</w:t>
      </w:r>
    </w:p>
    <w:p w:rsidR="00271AE6" w:rsidRPr="00271AE6" w:rsidRDefault="00271AE6" w:rsidP="00271AE6">
      <w:pPr>
        <w:widowControl w:val="0"/>
        <w:ind w:left="9356" w:firstLine="283"/>
        <w:rPr>
          <w:rFonts w:eastAsia="Calibri"/>
          <w:sz w:val="28"/>
        </w:rPr>
      </w:pPr>
      <w:r w:rsidRPr="00271AE6">
        <w:rPr>
          <w:rFonts w:eastAsia="Calibri"/>
          <w:sz w:val="28"/>
        </w:rPr>
        <w:t xml:space="preserve">по тарифам и ценам Камчатского края </w:t>
      </w:r>
    </w:p>
    <w:p w:rsidR="00271AE6" w:rsidRPr="00271AE6" w:rsidRDefault="00271AE6" w:rsidP="00271AE6">
      <w:pPr>
        <w:widowControl w:val="0"/>
        <w:ind w:left="9356" w:firstLine="283"/>
        <w:rPr>
          <w:rFonts w:eastAsia="Calibri"/>
          <w:sz w:val="28"/>
        </w:rPr>
      </w:pPr>
      <w:r w:rsidRPr="00271AE6">
        <w:rPr>
          <w:rFonts w:eastAsia="Calibri"/>
          <w:sz w:val="28"/>
        </w:rPr>
        <w:t>от ХХ.12.2019 № ХХ</w:t>
      </w:r>
    </w:p>
    <w:p w:rsidR="00271AE6" w:rsidRPr="00271AE6" w:rsidRDefault="00271AE6" w:rsidP="00271AE6">
      <w:pPr>
        <w:widowControl w:val="0"/>
        <w:ind w:left="-426"/>
        <w:jc w:val="center"/>
        <w:rPr>
          <w:rFonts w:eastAsia="Calibri"/>
          <w:sz w:val="28"/>
          <w:szCs w:val="28"/>
        </w:rPr>
      </w:pPr>
    </w:p>
    <w:p w:rsidR="00271AE6" w:rsidRPr="00271AE6" w:rsidRDefault="00271AE6" w:rsidP="00271AE6">
      <w:pPr>
        <w:widowControl w:val="0"/>
        <w:jc w:val="center"/>
        <w:rPr>
          <w:sz w:val="28"/>
          <w:szCs w:val="28"/>
        </w:rPr>
      </w:pPr>
      <w:hyperlink r:id="rId10" w:history="1">
        <w:r w:rsidRPr="00271AE6">
          <w:rPr>
            <w:sz w:val="28"/>
            <w:szCs w:val="28"/>
          </w:rPr>
          <w:t>Долгосрочные параметры</w:t>
        </w:r>
      </w:hyperlink>
      <w:r w:rsidRPr="00271AE6">
        <w:rPr>
          <w:sz w:val="28"/>
          <w:szCs w:val="28"/>
        </w:rPr>
        <w:t xml:space="preserve"> регулирования, устанавливаемые для формирования тарифов с использованием метода долгосрочной индексации необходимой валовой выручки на 2020-2022 годы, в отношении деятельности </w:t>
      </w:r>
      <w:r w:rsidRPr="00271AE6">
        <w:rPr>
          <w:bCs/>
          <w:sz w:val="28"/>
          <w:szCs w:val="28"/>
        </w:rPr>
        <w:t>АО «Корякэнерго»</w:t>
      </w:r>
      <w:r>
        <w:rPr>
          <w:bCs/>
          <w:sz w:val="28"/>
          <w:szCs w:val="28"/>
        </w:rPr>
        <w:t xml:space="preserve"> </w:t>
      </w:r>
      <w:r w:rsidRPr="00166677">
        <w:rPr>
          <w:bCs/>
          <w:sz w:val="28"/>
          <w:szCs w:val="28"/>
        </w:rPr>
        <w:t xml:space="preserve">по объектам электроснабжения горнодобывающих предприятий, осуществляющих деятельность </w:t>
      </w:r>
      <w:r>
        <w:rPr>
          <w:bCs/>
          <w:sz w:val="28"/>
          <w:szCs w:val="28"/>
        </w:rPr>
        <w:t>на территории</w:t>
      </w:r>
      <w:r w:rsidRPr="00166677">
        <w:rPr>
          <w:bCs/>
          <w:sz w:val="28"/>
          <w:szCs w:val="28"/>
        </w:rPr>
        <w:t xml:space="preserve"> </w:t>
      </w:r>
      <w:r w:rsidRPr="00166677">
        <w:rPr>
          <w:sz w:val="28"/>
          <w:szCs w:val="28"/>
        </w:rPr>
        <w:t>Карагинско</w:t>
      </w:r>
      <w:r>
        <w:rPr>
          <w:sz w:val="28"/>
          <w:szCs w:val="28"/>
        </w:rPr>
        <w:t>го</w:t>
      </w:r>
      <w:r w:rsidRPr="00166677">
        <w:rPr>
          <w:sz w:val="28"/>
          <w:szCs w:val="28"/>
        </w:rPr>
        <w:t xml:space="preserve"> муниципально</w:t>
      </w:r>
      <w:r>
        <w:rPr>
          <w:sz w:val="28"/>
          <w:szCs w:val="28"/>
        </w:rPr>
        <w:t>го</w:t>
      </w:r>
      <w:r w:rsidRPr="00166677">
        <w:rPr>
          <w:sz w:val="28"/>
          <w:szCs w:val="28"/>
        </w:rPr>
        <w:t xml:space="preserve"> район</w:t>
      </w:r>
      <w:r>
        <w:rPr>
          <w:sz w:val="28"/>
          <w:szCs w:val="28"/>
        </w:rPr>
        <w:t>а</w:t>
      </w:r>
      <w:r w:rsidRPr="00166677">
        <w:rPr>
          <w:sz w:val="28"/>
          <w:szCs w:val="28"/>
        </w:rPr>
        <w:t xml:space="preserve"> Камчатского края, месторождение «Озерновское»</w:t>
      </w:r>
      <w:r w:rsidRPr="00166677">
        <w:rPr>
          <w:b/>
          <w:sz w:val="28"/>
          <w:szCs w:val="28"/>
        </w:rPr>
        <w:t xml:space="preserve">, </w:t>
      </w:r>
      <w:r w:rsidRPr="00166677">
        <w:rPr>
          <w:sz w:val="28"/>
          <w:szCs w:val="28"/>
        </w:rPr>
        <w:t>Елизовско</w:t>
      </w:r>
      <w:r>
        <w:rPr>
          <w:sz w:val="28"/>
          <w:szCs w:val="28"/>
        </w:rPr>
        <w:t>го</w:t>
      </w:r>
      <w:r w:rsidRPr="00166677">
        <w:rPr>
          <w:sz w:val="28"/>
          <w:szCs w:val="28"/>
        </w:rPr>
        <w:t xml:space="preserve"> муниципально</w:t>
      </w:r>
      <w:r>
        <w:rPr>
          <w:sz w:val="28"/>
          <w:szCs w:val="28"/>
        </w:rPr>
        <w:t>го</w:t>
      </w:r>
      <w:r w:rsidRPr="00166677">
        <w:rPr>
          <w:sz w:val="28"/>
          <w:szCs w:val="28"/>
        </w:rPr>
        <w:t xml:space="preserve"> район</w:t>
      </w:r>
      <w:r>
        <w:rPr>
          <w:sz w:val="28"/>
          <w:szCs w:val="28"/>
        </w:rPr>
        <w:t>а</w:t>
      </w:r>
      <w:r w:rsidRPr="00166677">
        <w:rPr>
          <w:sz w:val="28"/>
          <w:szCs w:val="28"/>
        </w:rPr>
        <w:t xml:space="preserve"> Камчатского края, месторождение «Асачинское»</w:t>
      </w:r>
      <w:r w:rsidRPr="00271AE6">
        <w:rPr>
          <w:sz w:val="28"/>
          <w:szCs w:val="28"/>
        </w:rPr>
        <w:t>, по производству электрической энергии (мощности) в технологически изолированных территориальных электроэнергетических системах</w:t>
      </w:r>
    </w:p>
    <w:p w:rsidR="00271AE6" w:rsidRPr="00271AE6" w:rsidRDefault="00271AE6" w:rsidP="00271AE6">
      <w:pPr>
        <w:widowControl w:val="0"/>
        <w:jc w:val="center"/>
        <w:rPr>
          <w:rFonts w:eastAsia="Calibri"/>
          <w:bCs/>
          <w:sz w:val="28"/>
          <w:szCs w:val="2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5"/>
        <w:gridCol w:w="1417"/>
        <w:gridCol w:w="1985"/>
        <w:gridCol w:w="2323"/>
        <w:gridCol w:w="1701"/>
        <w:gridCol w:w="1701"/>
      </w:tblGrid>
      <w:tr w:rsidR="00271AE6" w:rsidRPr="00271AE6" w:rsidTr="00271AE6">
        <w:trPr>
          <w:trHeight w:val="423"/>
          <w:jc w:val="center"/>
        </w:trPr>
        <w:tc>
          <w:tcPr>
            <w:tcW w:w="510" w:type="dxa"/>
            <w:vMerge w:val="restart"/>
          </w:tcPr>
          <w:p w:rsidR="00271AE6" w:rsidRPr="00271AE6" w:rsidRDefault="00271AE6" w:rsidP="00271AE6">
            <w:pPr>
              <w:widowControl w:val="0"/>
              <w:autoSpaceDE w:val="0"/>
              <w:autoSpaceDN w:val="0"/>
              <w:jc w:val="center"/>
              <w:rPr>
                <w:sz w:val="18"/>
                <w:szCs w:val="18"/>
              </w:rPr>
            </w:pPr>
            <w:r w:rsidRPr="00271AE6">
              <w:rPr>
                <w:sz w:val="18"/>
                <w:szCs w:val="18"/>
              </w:rPr>
              <w:t>N п/п</w:t>
            </w:r>
          </w:p>
        </w:tc>
        <w:tc>
          <w:tcPr>
            <w:tcW w:w="5105" w:type="dxa"/>
            <w:vMerge w:val="restart"/>
            <w:vAlign w:val="center"/>
          </w:tcPr>
          <w:p w:rsidR="00271AE6" w:rsidRPr="00271AE6" w:rsidRDefault="00271AE6" w:rsidP="00271AE6">
            <w:pPr>
              <w:widowControl w:val="0"/>
              <w:autoSpaceDE w:val="0"/>
              <w:autoSpaceDN w:val="0"/>
              <w:jc w:val="center"/>
              <w:rPr>
                <w:sz w:val="18"/>
                <w:szCs w:val="18"/>
              </w:rPr>
            </w:pPr>
            <w:r w:rsidRPr="00271AE6">
              <w:rPr>
                <w:sz w:val="18"/>
                <w:szCs w:val="18"/>
              </w:rPr>
              <w:t>Наименование сетевой организации в субъекте Российской Федерации</w:t>
            </w:r>
          </w:p>
        </w:tc>
        <w:tc>
          <w:tcPr>
            <w:tcW w:w="1417" w:type="dxa"/>
            <w:vMerge w:val="restart"/>
            <w:vAlign w:val="center"/>
          </w:tcPr>
          <w:p w:rsidR="00271AE6" w:rsidRPr="00271AE6" w:rsidRDefault="00271AE6" w:rsidP="00271AE6">
            <w:pPr>
              <w:widowControl w:val="0"/>
              <w:autoSpaceDE w:val="0"/>
              <w:autoSpaceDN w:val="0"/>
              <w:jc w:val="center"/>
              <w:rPr>
                <w:sz w:val="18"/>
                <w:szCs w:val="18"/>
              </w:rPr>
            </w:pPr>
            <w:r w:rsidRPr="00271AE6">
              <w:rPr>
                <w:sz w:val="18"/>
                <w:szCs w:val="18"/>
              </w:rPr>
              <w:t>Год</w:t>
            </w:r>
          </w:p>
        </w:tc>
        <w:tc>
          <w:tcPr>
            <w:tcW w:w="1985" w:type="dxa"/>
            <w:vMerge w:val="restart"/>
            <w:vAlign w:val="center"/>
          </w:tcPr>
          <w:p w:rsidR="00271AE6" w:rsidRPr="00271AE6" w:rsidRDefault="00271AE6" w:rsidP="00271AE6">
            <w:pPr>
              <w:widowControl w:val="0"/>
              <w:autoSpaceDE w:val="0"/>
              <w:autoSpaceDN w:val="0"/>
              <w:jc w:val="center"/>
              <w:rPr>
                <w:sz w:val="18"/>
                <w:szCs w:val="18"/>
              </w:rPr>
            </w:pPr>
            <w:r w:rsidRPr="00271AE6">
              <w:rPr>
                <w:sz w:val="18"/>
                <w:szCs w:val="18"/>
              </w:rPr>
              <w:t>Базовый уровень операционных расходов</w:t>
            </w:r>
          </w:p>
        </w:tc>
        <w:tc>
          <w:tcPr>
            <w:tcW w:w="2323" w:type="dxa"/>
            <w:vMerge w:val="restart"/>
            <w:vAlign w:val="center"/>
          </w:tcPr>
          <w:p w:rsidR="00271AE6" w:rsidRPr="00271AE6" w:rsidRDefault="00271AE6" w:rsidP="00271AE6">
            <w:pPr>
              <w:widowControl w:val="0"/>
              <w:autoSpaceDE w:val="0"/>
              <w:autoSpaceDN w:val="0"/>
              <w:jc w:val="center"/>
              <w:rPr>
                <w:sz w:val="18"/>
                <w:szCs w:val="18"/>
              </w:rPr>
            </w:pPr>
            <w:r w:rsidRPr="00271AE6">
              <w:rPr>
                <w:sz w:val="18"/>
                <w:szCs w:val="18"/>
              </w:rPr>
              <w:t>Индекс эффективности операционных расходов</w:t>
            </w:r>
          </w:p>
        </w:tc>
        <w:tc>
          <w:tcPr>
            <w:tcW w:w="3402" w:type="dxa"/>
            <w:gridSpan w:val="2"/>
            <w:vAlign w:val="center"/>
          </w:tcPr>
          <w:p w:rsidR="00271AE6" w:rsidRPr="00271AE6" w:rsidRDefault="00271AE6" w:rsidP="00271AE6">
            <w:pPr>
              <w:widowControl w:val="0"/>
              <w:autoSpaceDE w:val="0"/>
              <w:autoSpaceDN w:val="0"/>
              <w:jc w:val="center"/>
              <w:rPr>
                <w:sz w:val="18"/>
                <w:szCs w:val="18"/>
              </w:rPr>
            </w:pPr>
            <w:r w:rsidRPr="00271AE6">
              <w:rPr>
                <w:sz w:val="18"/>
                <w:szCs w:val="18"/>
              </w:rPr>
              <w:t>Целевые показатели энергосбережения и энергетической эффективности</w:t>
            </w:r>
          </w:p>
        </w:tc>
      </w:tr>
      <w:tr w:rsidR="00271AE6" w:rsidRPr="00271AE6" w:rsidTr="00271AE6">
        <w:trPr>
          <w:trHeight w:val="77"/>
          <w:jc w:val="center"/>
        </w:trPr>
        <w:tc>
          <w:tcPr>
            <w:tcW w:w="510" w:type="dxa"/>
            <w:vMerge/>
          </w:tcPr>
          <w:p w:rsidR="00271AE6" w:rsidRPr="00271AE6" w:rsidRDefault="00271AE6" w:rsidP="00271AE6">
            <w:pPr>
              <w:widowControl w:val="0"/>
              <w:autoSpaceDE w:val="0"/>
              <w:autoSpaceDN w:val="0"/>
              <w:jc w:val="center"/>
              <w:rPr>
                <w:sz w:val="18"/>
                <w:szCs w:val="18"/>
              </w:rPr>
            </w:pPr>
          </w:p>
        </w:tc>
        <w:tc>
          <w:tcPr>
            <w:tcW w:w="5105" w:type="dxa"/>
            <w:vMerge/>
            <w:vAlign w:val="center"/>
          </w:tcPr>
          <w:p w:rsidR="00271AE6" w:rsidRPr="00271AE6" w:rsidRDefault="00271AE6" w:rsidP="00271AE6">
            <w:pPr>
              <w:widowControl w:val="0"/>
              <w:autoSpaceDE w:val="0"/>
              <w:autoSpaceDN w:val="0"/>
              <w:jc w:val="center"/>
              <w:rPr>
                <w:sz w:val="18"/>
                <w:szCs w:val="18"/>
              </w:rPr>
            </w:pPr>
          </w:p>
        </w:tc>
        <w:tc>
          <w:tcPr>
            <w:tcW w:w="1417" w:type="dxa"/>
            <w:vMerge/>
            <w:vAlign w:val="center"/>
          </w:tcPr>
          <w:p w:rsidR="00271AE6" w:rsidRPr="00271AE6" w:rsidRDefault="00271AE6" w:rsidP="00271AE6">
            <w:pPr>
              <w:widowControl w:val="0"/>
              <w:autoSpaceDE w:val="0"/>
              <w:autoSpaceDN w:val="0"/>
              <w:jc w:val="center"/>
              <w:rPr>
                <w:sz w:val="18"/>
                <w:szCs w:val="18"/>
              </w:rPr>
            </w:pPr>
          </w:p>
        </w:tc>
        <w:tc>
          <w:tcPr>
            <w:tcW w:w="1985" w:type="dxa"/>
            <w:vMerge/>
            <w:vAlign w:val="center"/>
          </w:tcPr>
          <w:p w:rsidR="00271AE6" w:rsidRPr="00271AE6" w:rsidRDefault="00271AE6" w:rsidP="00271AE6">
            <w:pPr>
              <w:widowControl w:val="0"/>
              <w:autoSpaceDE w:val="0"/>
              <w:autoSpaceDN w:val="0"/>
              <w:jc w:val="center"/>
              <w:rPr>
                <w:sz w:val="18"/>
                <w:szCs w:val="18"/>
              </w:rPr>
            </w:pPr>
          </w:p>
        </w:tc>
        <w:tc>
          <w:tcPr>
            <w:tcW w:w="2323" w:type="dxa"/>
            <w:vMerge/>
            <w:vAlign w:val="center"/>
          </w:tcPr>
          <w:p w:rsidR="00271AE6" w:rsidRPr="00271AE6" w:rsidRDefault="00271AE6" w:rsidP="00271AE6">
            <w:pPr>
              <w:widowControl w:val="0"/>
              <w:autoSpaceDE w:val="0"/>
              <w:autoSpaceDN w:val="0"/>
              <w:jc w:val="center"/>
              <w:rPr>
                <w:sz w:val="18"/>
                <w:szCs w:val="18"/>
              </w:rPr>
            </w:pPr>
          </w:p>
        </w:tc>
        <w:tc>
          <w:tcPr>
            <w:tcW w:w="1701" w:type="dxa"/>
            <w:vAlign w:val="center"/>
          </w:tcPr>
          <w:p w:rsidR="00271AE6" w:rsidRPr="00271AE6" w:rsidRDefault="00271AE6" w:rsidP="00271AE6">
            <w:pPr>
              <w:widowControl w:val="0"/>
              <w:autoSpaceDE w:val="0"/>
              <w:autoSpaceDN w:val="0"/>
              <w:jc w:val="center"/>
              <w:rPr>
                <w:sz w:val="18"/>
                <w:szCs w:val="18"/>
              </w:rPr>
            </w:pPr>
            <w:r w:rsidRPr="00271AE6">
              <w:rPr>
                <w:sz w:val="18"/>
                <w:szCs w:val="18"/>
              </w:rPr>
              <w:t>удельный расход условного топлива</w:t>
            </w:r>
          </w:p>
        </w:tc>
        <w:tc>
          <w:tcPr>
            <w:tcW w:w="1701" w:type="dxa"/>
            <w:vAlign w:val="center"/>
          </w:tcPr>
          <w:p w:rsidR="00271AE6" w:rsidRPr="00271AE6" w:rsidRDefault="00271AE6" w:rsidP="00271AE6">
            <w:pPr>
              <w:widowControl w:val="0"/>
              <w:autoSpaceDE w:val="0"/>
              <w:autoSpaceDN w:val="0"/>
              <w:jc w:val="center"/>
              <w:rPr>
                <w:sz w:val="18"/>
                <w:szCs w:val="18"/>
              </w:rPr>
            </w:pPr>
            <w:r w:rsidRPr="00271AE6">
              <w:rPr>
                <w:sz w:val="18"/>
                <w:szCs w:val="18"/>
              </w:rPr>
              <w:t>иные показатели</w:t>
            </w:r>
          </w:p>
        </w:tc>
      </w:tr>
      <w:tr w:rsidR="00271AE6" w:rsidRPr="00271AE6" w:rsidTr="00271AE6">
        <w:trPr>
          <w:jc w:val="center"/>
        </w:trPr>
        <w:tc>
          <w:tcPr>
            <w:tcW w:w="510" w:type="dxa"/>
            <w:vMerge/>
          </w:tcPr>
          <w:p w:rsidR="00271AE6" w:rsidRPr="00271AE6" w:rsidRDefault="00271AE6" w:rsidP="00271AE6">
            <w:pPr>
              <w:spacing w:line="276" w:lineRule="auto"/>
              <w:rPr>
                <w:rFonts w:eastAsia="Calibri"/>
                <w:sz w:val="18"/>
                <w:szCs w:val="18"/>
                <w:lang w:eastAsia="en-US"/>
              </w:rPr>
            </w:pPr>
          </w:p>
        </w:tc>
        <w:tc>
          <w:tcPr>
            <w:tcW w:w="5105" w:type="dxa"/>
            <w:vMerge/>
          </w:tcPr>
          <w:p w:rsidR="00271AE6" w:rsidRPr="00271AE6" w:rsidRDefault="00271AE6" w:rsidP="00271AE6">
            <w:pPr>
              <w:spacing w:line="276" w:lineRule="auto"/>
              <w:rPr>
                <w:rFonts w:eastAsia="Calibri"/>
                <w:sz w:val="18"/>
                <w:szCs w:val="18"/>
                <w:lang w:eastAsia="en-US"/>
              </w:rPr>
            </w:pPr>
          </w:p>
        </w:tc>
        <w:tc>
          <w:tcPr>
            <w:tcW w:w="1417" w:type="dxa"/>
            <w:vMerge/>
          </w:tcPr>
          <w:p w:rsidR="00271AE6" w:rsidRPr="00271AE6" w:rsidRDefault="00271AE6" w:rsidP="00271AE6">
            <w:pPr>
              <w:spacing w:line="276" w:lineRule="auto"/>
              <w:rPr>
                <w:rFonts w:eastAsia="Calibri"/>
                <w:sz w:val="18"/>
                <w:szCs w:val="18"/>
                <w:lang w:eastAsia="en-US"/>
              </w:rPr>
            </w:pPr>
          </w:p>
        </w:tc>
        <w:tc>
          <w:tcPr>
            <w:tcW w:w="1985" w:type="dxa"/>
          </w:tcPr>
          <w:p w:rsidR="00271AE6" w:rsidRPr="00271AE6" w:rsidRDefault="00271AE6" w:rsidP="00271AE6">
            <w:pPr>
              <w:widowControl w:val="0"/>
              <w:autoSpaceDE w:val="0"/>
              <w:autoSpaceDN w:val="0"/>
              <w:jc w:val="center"/>
              <w:rPr>
                <w:sz w:val="18"/>
                <w:szCs w:val="18"/>
              </w:rPr>
            </w:pPr>
            <w:r w:rsidRPr="00271AE6">
              <w:rPr>
                <w:sz w:val="18"/>
                <w:szCs w:val="18"/>
              </w:rPr>
              <w:t>млн. руб.</w:t>
            </w:r>
          </w:p>
        </w:tc>
        <w:tc>
          <w:tcPr>
            <w:tcW w:w="2323" w:type="dxa"/>
          </w:tcPr>
          <w:p w:rsidR="00271AE6" w:rsidRPr="00271AE6" w:rsidRDefault="00271AE6" w:rsidP="00271AE6">
            <w:pPr>
              <w:widowControl w:val="0"/>
              <w:autoSpaceDE w:val="0"/>
              <w:autoSpaceDN w:val="0"/>
              <w:jc w:val="center"/>
              <w:rPr>
                <w:sz w:val="18"/>
                <w:szCs w:val="18"/>
              </w:rPr>
            </w:pPr>
            <w:r w:rsidRPr="00271AE6">
              <w:rPr>
                <w:sz w:val="18"/>
                <w:szCs w:val="18"/>
              </w:rPr>
              <w:t>%</w:t>
            </w:r>
          </w:p>
        </w:tc>
        <w:tc>
          <w:tcPr>
            <w:tcW w:w="1701" w:type="dxa"/>
          </w:tcPr>
          <w:p w:rsidR="00271AE6" w:rsidRPr="00271AE6" w:rsidRDefault="00271AE6" w:rsidP="00271AE6">
            <w:pPr>
              <w:widowControl w:val="0"/>
              <w:autoSpaceDE w:val="0"/>
              <w:autoSpaceDN w:val="0"/>
              <w:jc w:val="center"/>
              <w:rPr>
                <w:sz w:val="18"/>
                <w:szCs w:val="18"/>
              </w:rPr>
            </w:pPr>
            <w:r w:rsidRPr="00271AE6">
              <w:rPr>
                <w:sz w:val="18"/>
                <w:szCs w:val="18"/>
              </w:rPr>
              <w:t>%</w:t>
            </w:r>
          </w:p>
        </w:tc>
        <w:tc>
          <w:tcPr>
            <w:tcW w:w="1701" w:type="dxa"/>
          </w:tcPr>
          <w:p w:rsidR="00271AE6" w:rsidRPr="00271AE6" w:rsidRDefault="00271AE6" w:rsidP="00271AE6">
            <w:pPr>
              <w:widowControl w:val="0"/>
              <w:autoSpaceDE w:val="0"/>
              <w:autoSpaceDN w:val="0"/>
              <w:jc w:val="center"/>
              <w:rPr>
                <w:sz w:val="18"/>
                <w:szCs w:val="18"/>
              </w:rPr>
            </w:pPr>
            <w:r w:rsidRPr="00271AE6">
              <w:rPr>
                <w:sz w:val="18"/>
                <w:szCs w:val="18"/>
              </w:rPr>
              <w:t>%</w:t>
            </w:r>
          </w:p>
        </w:tc>
      </w:tr>
      <w:tr w:rsidR="00271AE6" w:rsidRPr="00271AE6" w:rsidTr="00271AE6">
        <w:trPr>
          <w:jc w:val="center"/>
        </w:trPr>
        <w:tc>
          <w:tcPr>
            <w:tcW w:w="510" w:type="dxa"/>
          </w:tcPr>
          <w:p w:rsidR="00271AE6" w:rsidRPr="00271AE6" w:rsidRDefault="00271AE6" w:rsidP="00271AE6">
            <w:pPr>
              <w:widowControl w:val="0"/>
              <w:autoSpaceDE w:val="0"/>
              <w:autoSpaceDN w:val="0"/>
              <w:jc w:val="center"/>
              <w:rPr>
                <w:sz w:val="18"/>
                <w:szCs w:val="18"/>
              </w:rPr>
            </w:pPr>
            <w:r w:rsidRPr="00271AE6">
              <w:rPr>
                <w:sz w:val="18"/>
                <w:szCs w:val="18"/>
              </w:rPr>
              <w:t>1</w:t>
            </w:r>
          </w:p>
        </w:tc>
        <w:tc>
          <w:tcPr>
            <w:tcW w:w="5105" w:type="dxa"/>
          </w:tcPr>
          <w:p w:rsidR="00271AE6" w:rsidRPr="00271AE6" w:rsidRDefault="00271AE6" w:rsidP="00271AE6">
            <w:pPr>
              <w:widowControl w:val="0"/>
              <w:autoSpaceDE w:val="0"/>
              <w:autoSpaceDN w:val="0"/>
              <w:jc w:val="center"/>
              <w:rPr>
                <w:sz w:val="18"/>
                <w:szCs w:val="18"/>
              </w:rPr>
            </w:pPr>
            <w:r w:rsidRPr="00271AE6">
              <w:rPr>
                <w:sz w:val="18"/>
                <w:szCs w:val="18"/>
              </w:rPr>
              <w:t>2</w:t>
            </w:r>
          </w:p>
        </w:tc>
        <w:tc>
          <w:tcPr>
            <w:tcW w:w="1417" w:type="dxa"/>
          </w:tcPr>
          <w:p w:rsidR="00271AE6" w:rsidRPr="00271AE6" w:rsidRDefault="00271AE6" w:rsidP="00271AE6">
            <w:pPr>
              <w:widowControl w:val="0"/>
              <w:autoSpaceDE w:val="0"/>
              <w:autoSpaceDN w:val="0"/>
              <w:jc w:val="center"/>
              <w:rPr>
                <w:sz w:val="18"/>
                <w:szCs w:val="18"/>
              </w:rPr>
            </w:pPr>
            <w:r w:rsidRPr="00271AE6">
              <w:rPr>
                <w:sz w:val="18"/>
                <w:szCs w:val="18"/>
              </w:rPr>
              <w:t>3</w:t>
            </w:r>
          </w:p>
        </w:tc>
        <w:tc>
          <w:tcPr>
            <w:tcW w:w="1985" w:type="dxa"/>
          </w:tcPr>
          <w:p w:rsidR="00271AE6" w:rsidRPr="00271AE6" w:rsidRDefault="00271AE6" w:rsidP="00271AE6">
            <w:pPr>
              <w:widowControl w:val="0"/>
              <w:autoSpaceDE w:val="0"/>
              <w:autoSpaceDN w:val="0"/>
              <w:jc w:val="center"/>
              <w:rPr>
                <w:sz w:val="18"/>
                <w:szCs w:val="18"/>
              </w:rPr>
            </w:pPr>
            <w:r w:rsidRPr="00271AE6">
              <w:rPr>
                <w:sz w:val="18"/>
                <w:szCs w:val="18"/>
              </w:rPr>
              <w:t>4</w:t>
            </w:r>
          </w:p>
        </w:tc>
        <w:tc>
          <w:tcPr>
            <w:tcW w:w="2323" w:type="dxa"/>
          </w:tcPr>
          <w:p w:rsidR="00271AE6" w:rsidRPr="00271AE6" w:rsidRDefault="00271AE6" w:rsidP="00271AE6">
            <w:pPr>
              <w:widowControl w:val="0"/>
              <w:autoSpaceDE w:val="0"/>
              <w:autoSpaceDN w:val="0"/>
              <w:jc w:val="center"/>
              <w:rPr>
                <w:sz w:val="18"/>
                <w:szCs w:val="18"/>
              </w:rPr>
            </w:pPr>
            <w:r w:rsidRPr="00271AE6">
              <w:rPr>
                <w:sz w:val="18"/>
                <w:szCs w:val="18"/>
              </w:rPr>
              <w:t>5</w:t>
            </w:r>
          </w:p>
        </w:tc>
        <w:tc>
          <w:tcPr>
            <w:tcW w:w="1701" w:type="dxa"/>
          </w:tcPr>
          <w:p w:rsidR="00271AE6" w:rsidRPr="00271AE6" w:rsidRDefault="00271AE6" w:rsidP="00271AE6">
            <w:pPr>
              <w:widowControl w:val="0"/>
              <w:autoSpaceDE w:val="0"/>
              <w:autoSpaceDN w:val="0"/>
              <w:jc w:val="center"/>
              <w:rPr>
                <w:sz w:val="18"/>
                <w:szCs w:val="18"/>
              </w:rPr>
            </w:pPr>
            <w:r w:rsidRPr="00271AE6">
              <w:rPr>
                <w:sz w:val="18"/>
                <w:szCs w:val="18"/>
              </w:rPr>
              <w:t>6</w:t>
            </w:r>
          </w:p>
        </w:tc>
        <w:tc>
          <w:tcPr>
            <w:tcW w:w="1701" w:type="dxa"/>
          </w:tcPr>
          <w:p w:rsidR="00271AE6" w:rsidRPr="00271AE6" w:rsidRDefault="00271AE6" w:rsidP="00271AE6">
            <w:pPr>
              <w:widowControl w:val="0"/>
              <w:autoSpaceDE w:val="0"/>
              <w:autoSpaceDN w:val="0"/>
              <w:jc w:val="center"/>
              <w:rPr>
                <w:sz w:val="18"/>
                <w:szCs w:val="18"/>
              </w:rPr>
            </w:pPr>
            <w:r w:rsidRPr="00271AE6">
              <w:rPr>
                <w:sz w:val="18"/>
                <w:szCs w:val="18"/>
              </w:rPr>
              <w:t>7</w:t>
            </w:r>
          </w:p>
        </w:tc>
      </w:tr>
      <w:tr w:rsidR="00271AE6" w:rsidRPr="00271AE6" w:rsidTr="00271AE6">
        <w:trPr>
          <w:trHeight w:val="352"/>
          <w:jc w:val="center"/>
        </w:trPr>
        <w:tc>
          <w:tcPr>
            <w:tcW w:w="510" w:type="dxa"/>
            <w:vMerge w:val="restart"/>
            <w:vAlign w:val="center"/>
          </w:tcPr>
          <w:p w:rsidR="00271AE6" w:rsidRPr="00271AE6" w:rsidRDefault="00271AE6" w:rsidP="00271AE6">
            <w:pPr>
              <w:widowControl w:val="0"/>
              <w:autoSpaceDE w:val="0"/>
              <w:autoSpaceDN w:val="0"/>
              <w:jc w:val="center"/>
              <w:rPr>
                <w:sz w:val="18"/>
                <w:szCs w:val="18"/>
              </w:rPr>
            </w:pPr>
            <w:r w:rsidRPr="00271AE6">
              <w:rPr>
                <w:sz w:val="18"/>
                <w:szCs w:val="18"/>
              </w:rPr>
              <w:t>1</w:t>
            </w:r>
          </w:p>
        </w:tc>
        <w:tc>
          <w:tcPr>
            <w:tcW w:w="5105" w:type="dxa"/>
            <w:vMerge w:val="restart"/>
            <w:vAlign w:val="center"/>
          </w:tcPr>
          <w:p w:rsidR="00271AE6" w:rsidRPr="00271AE6" w:rsidRDefault="00271AE6" w:rsidP="00271AE6">
            <w:pPr>
              <w:widowControl w:val="0"/>
              <w:autoSpaceDE w:val="0"/>
              <w:autoSpaceDN w:val="0"/>
              <w:jc w:val="center"/>
              <w:rPr>
                <w:sz w:val="18"/>
                <w:szCs w:val="18"/>
              </w:rPr>
            </w:pPr>
            <w:r w:rsidRPr="00271AE6">
              <w:rPr>
                <w:sz w:val="18"/>
                <w:szCs w:val="18"/>
              </w:rPr>
              <w:t>АО «Корякэнерго»</w:t>
            </w:r>
            <w:r>
              <w:rPr>
                <w:sz w:val="18"/>
                <w:szCs w:val="18"/>
              </w:rPr>
              <w:t xml:space="preserve"> (</w:t>
            </w:r>
            <w:r w:rsidRPr="00271AE6">
              <w:rPr>
                <w:sz w:val="18"/>
                <w:szCs w:val="18"/>
              </w:rPr>
              <w:t>по объектам электроснабжения горнодобывающих предприятий, осуществляющих деятельность на территории Карагинского муниципального района Камчатского края, месторождение «Озерновское», Елизовского муниципального района Камчатского края, месторождение «Асачинское»</w:t>
            </w:r>
            <w:r>
              <w:rPr>
                <w:sz w:val="18"/>
                <w:szCs w:val="18"/>
              </w:rPr>
              <w:t>)</w:t>
            </w:r>
          </w:p>
        </w:tc>
        <w:tc>
          <w:tcPr>
            <w:tcW w:w="1417" w:type="dxa"/>
            <w:vAlign w:val="center"/>
          </w:tcPr>
          <w:p w:rsidR="00271AE6" w:rsidRPr="00271AE6" w:rsidRDefault="00271AE6" w:rsidP="00271AE6">
            <w:pPr>
              <w:widowControl w:val="0"/>
              <w:autoSpaceDE w:val="0"/>
              <w:autoSpaceDN w:val="0"/>
              <w:jc w:val="center"/>
              <w:rPr>
                <w:sz w:val="18"/>
                <w:szCs w:val="18"/>
              </w:rPr>
            </w:pPr>
            <w:r w:rsidRPr="00271AE6">
              <w:rPr>
                <w:sz w:val="18"/>
                <w:szCs w:val="18"/>
              </w:rPr>
              <w:t>2020 год</w:t>
            </w:r>
          </w:p>
        </w:tc>
        <w:tc>
          <w:tcPr>
            <w:tcW w:w="1985" w:type="dxa"/>
            <w:vAlign w:val="center"/>
          </w:tcPr>
          <w:p w:rsidR="00271AE6" w:rsidRPr="00271AE6" w:rsidRDefault="00271AE6" w:rsidP="00271AE6">
            <w:pPr>
              <w:widowControl w:val="0"/>
              <w:autoSpaceDE w:val="0"/>
              <w:autoSpaceDN w:val="0"/>
              <w:jc w:val="center"/>
              <w:rPr>
                <w:sz w:val="18"/>
                <w:szCs w:val="18"/>
                <w:highlight w:val="yellow"/>
              </w:rPr>
            </w:pPr>
            <w:r w:rsidRPr="00271AE6">
              <w:rPr>
                <w:rFonts w:eastAsia="Calibri"/>
                <w:sz w:val="18"/>
                <w:szCs w:val="18"/>
                <w:highlight w:val="yellow"/>
              </w:rPr>
              <w:t>00000</w:t>
            </w:r>
          </w:p>
        </w:tc>
        <w:tc>
          <w:tcPr>
            <w:tcW w:w="2323" w:type="dxa"/>
            <w:vAlign w:val="center"/>
          </w:tcPr>
          <w:p w:rsidR="00271AE6" w:rsidRPr="00271AE6" w:rsidRDefault="00271AE6" w:rsidP="00271AE6">
            <w:pPr>
              <w:widowControl w:val="0"/>
              <w:autoSpaceDE w:val="0"/>
              <w:autoSpaceDN w:val="0"/>
              <w:jc w:val="center"/>
              <w:rPr>
                <w:sz w:val="18"/>
                <w:szCs w:val="18"/>
              </w:rPr>
            </w:pPr>
            <w:r w:rsidRPr="00271AE6">
              <w:rPr>
                <w:sz w:val="18"/>
                <w:szCs w:val="18"/>
              </w:rPr>
              <w:t>1 %</w:t>
            </w:r>
          </w:p>
        </w:tc>
        <w:tc>
          <w:tcPr>
            <w:tcW w:w="1701" w:type="dxa"/>
            <w:vAlign w:val="center"/>
          </w:tcPr>
          <w:p w:rsidR="00271AE6" w:rsidRPr="00271AE6" w:rsidRDefault="00271AE6" w:rsidP="00271AE6">
            <w:pPr>
              <w:widowControl w:val="0"/>
              <w:autoSpaceDE w:val="0"/>
              <w:autoSpaceDN w:val="0"/>
              <w:jc w:val="center"/>
              <w:rPr>
                <w:sz w:val="18"/>
                <w:szCs w:val="18"/>
                <w:highlight w:val="yellow"/>
              </w:rPr>
            </w:pPr>
            <w:r w:rsidRPr="00271AE6">
              <w:rPr>
                <w:sz w:val="18"/>
                <w:szCs w:val="18"/>
                <w:highlight w:val="yellow"/>
              </w:rPr>
              <w:t>000</w:t>
            </w:r>
          </w:p>
        </w:tc>
        <w:tc>
          <w:tcPr>
            <w:tcW w:w="1701" w:type="dxa"/>
            <w:vAlign w:val="center"/>
          </w:tcPr>
          <w:p w:rsidR="00271AE6" w:rsidRPr="00271AE6" w:rsidRDefault="00271AE6" w:rsidP="00271AE6">
            <w:pPr>
              <w:widowControl w:val="0"/>
              <w:autoSpaceDE w:val="0"/>
              <w:autoSpaceDN w:val="0"/>
              <w:jc w:val="center"/>
              <w:rPr>
                <w:sz w:val="18"/>
                <w:szCs w:val="18"/>
                <w:highlight w:val="yellow"/>
              </w:rPr>
            </w:pPr>
            <w:r w:rsidRPr="00271AE6">
              <w:rPr>
                <w:sz w:val="18"/>
                <w:szCs w:val="18"/>
                <w:highlight w:val="yellow"/>
              </w:rPr>
              <w:t>-</w:t>
            </w:r>
          </w:p>
        </w:tc>
      </w:tr>
      <w:tr w:rsidR="00271AE6" w:rsidRPr="00271AE6" w:rsidTr="00271AE6">
        <w:trPr>
          <w:trHeight w:val="359"/>
          <w:jc w:val="center"/>
        </w:trPr>
        <w:tc>
          <w:tcPr>
            <w:tcW w:w="510" w:type="dxa"/>
            <w:vMerge/>
          </w:tcPr>
          <w:p w:rsidR="00271AE6" w:rsidRPr="00271AE6" w:rsidRDefault="00271AE6" w:rsidP="00271AE6">
            <w:pPr>
              <w:spacing w:line="276" w:lineRule="auto"/>
              <w:rPr>
                <w:rFonts w:eastAsia="Calibri"/>
                <w:sz w:val="18"/>
                <w:szCs w:val="18"/>
                <w:lang w:eastAsia="en-US"/>
              </w:rPr>
            </w:pPr>
          </w:p>
        </w:tc>
        <w:tc>
          <w:tcPr>
            <w:tcW w:w="5105" w:type="dxa"/>
            <w:vMerge/>
          </w:tcPr>
          <w:p w:rsidR="00271AE6" w:rsidRPr="00271AE6" w:rsidRDefault="00271AE6" w:rsidP="00271AE6">
            <w:pPr>
              <w:spacing w:line="276" w:lineRule="auto"/>
              <w:rPr>
                <w:rFonts w:eastAsia="Calibri"/>
                <w:sz w:val="18"/>
                <w:szCs w:val="18"/>
                <w:lang w:eastAsia="en-US"/>
              </w:rPr>
            </w:pPr>
          </w:p>
        </w:tc>
        <w:tc>
          <w:tcPr>
            <w:tcW w:w="1417" w:type="dxa"/>
            <w:vAlign w:val="center"/>
          </w:tcPr>
          <w:p w:rsidR="00271AE6" w:rsidRPr="00271AE6" w:rsidRDefault="00271AE6" w:rsidP="00271AE6">
            <w:pPr>
              <w:widowControl w:val="0"/>
              <w:autoSpaceDE w:val="0"/>
              <w:autoSpaceDN w:val="0"/>
              <w:jc w:val="center"/>
              <w:rPr>
                <w:sz w:val="18"/>
                <w:szCs w:val="18"/>
              </w:rPr>
            </w:pPr>
            <w:r w:rsidRPr="00271AE6">
              <w:rPr>
                <w:sz w:val="18"/>
                <w:szCs w:val="18"/>
              </w:rPr>
              <w:t>2021 год</w:t>
            </w:r>
          </w:p>
        </w:tc>
        <w:tc>
          <w:tcPr>
            <w:tcW w:w="1985" w:type="dxa"/>
            <w:vAlign w:val="center"/>
          </w:tcPr>
          <w:p w:rsidR="00271AE6" w:rsidRPr="00271AE6" w:rsidRDefault="00271AE6" w:rsidP="00271AE6">
            <w:pPr>
              <w:widowControl w:val="0"/>
              <w:autoSpaceDE w:val="0"/>
              <w:autoSpaceDN w:val="0"/>
              <w:jc w:val="center"/>
              <w:rPr>
                <w:rFonts w:eastAsia="Calibri"/>
                <w:sz w:val="18"/>
                <w:szCs w:val="18"/>
                <w:lang w:eastAsia="en-US"/>
              </w:rPr>
            </w:pPr>
            <w:r w:rsidRPr="00271AE6">
              <w:rPr>
                <w:rFonts w:eastAsia="Calibri"/>
                <w:sz w:val="18"/>
                <w:szCs w:val="18"/>
                <w:lang w:eastAsia="en-US"/>
              </w:rPr>
              <w:t>Х</w:t>
            </w:r>
          </w:p>
        </w:tc>
        <w:tc>
          <w:tcPr>
            <w:tcW w:w="2323" w:type="dxa"/>
            <w:vAlign w:val="center"/>
          </w:tcPr>
          <w:p w:rsidR="00271AE6" w:rsidRPr="00271AE6" w:rsidRDefault="00271AE6" w:rsidP="00271AE6">
            <w:pPr>
              <w:widowControl w:val="0"/>
              <w:autoSpaceDE w:val="0"/>
              <w:autoSpaceDN w:val="0"/>
              <w:jc w:val="center"/>
              <w:rPr>
                <w:sz w:val="18"/>
                <w:szCs w:val="18"/>
              </w:rPr>
            </w:pPr>
            <w:r w:rsidRPr="00271AE6">
              <w:rPr>
                <w:sz w:val="18"/>
                <w:szCs w:val="18"/>
              </w:rPr>
              <w:t>1 %</w:t>
            </w:r>
          </w:p>
        </w:tc>
        <w:tc>
          <w:tcPr>
            <w:tcW w:w="1701" w:type="dxa"/>
            <w:vAlign w:val="center"/>
          </w:tcPr>
          <w:p w:rsidR="00271AE6" w:rsidRPr="00271AE6" w:rsidRDefault="00271AE6" w:rsidP="00271AE6">
            <w:pPr>
              <w:widowControl w:val="0"/>
              <w:autoSpaceDE w:val="0"/>
              <w:autoSpaceDN w:val="0"/>
              <w:jc w:val="center"/>
              <w:rPr>
                <w:sz w:val="18"/>
                <w:szCs w:val="18"/>
                <w:highlight w:val="yellow"/>
              </w:rPr>
            </w:pPr>
            <w:r w:rsidRPr="00271AE6">
              <w:rPr>
                <w:sz w:val="18"/>
                <w:szCs w:val="18"/>
                <w:highlight w:val="yellow"/>
              </w:rPr>
              <w:t>000</w:t>
            </w:r>
          </w:p>
        </w:tc>
        <w:tc>
          <w:tcPr>
            <w:tcW w:w="1701" w:type="dxa"/>
            <w:vAlign w:val="center"/>
          </w:tcPr>
          <w:p w:rsidR="00271AE6" w:rsidRPr="00271AE6" w:rsidRDefault="00271AE6" w:rsidP="00271AE6">
            <w:pPr>
              <w:widowControl w:val="0"/>
              <w:autoSpaceDE w:val="0"/>
              <w:autoSpaceDN w:val="0"/>
              <w:jc w:val="center"/>
              <w:rPr>
                <w:sz w:val="18"/>
                <w:szCs w:val="18"/>
                <w:highlight w:val="yellow"/>
              </w:rPr>
            </w:pPr>
            <w:r w:rsidRPr="00271AE6">
              <w:rPr>
                <w:sz w:val="18"/>
                <w:szCs w:val="18"/>
                <w:highlight w:val="yellow"/>
              </w:rPr>
              <w:t>-</w:t>
            </w:r>
          </w:p>
        </w:tc>
      </w:tr>
      <w:tr w:rsidR="00271AE6" w:rsidRPr="00271AE6" w:rsidTr="00271AE6">
        <w:trPr>
          <w:trHeight w:val="285"/>
          <w:jc w:val="center"/>
        </w:trPr>
        <w:tc>
          <w:tcPr>
            <w:tcW w:w="510" w:type="dxa"/>
            <w:vMerge/>
          </w:tcPr>
          <w:p w:rsidR="00271AE6" w:rsidRPr="00271AE6" w:rsidRDefault="00271AE6" w:rsidP="00271AE6">
            <w:pPr>
              <w:spacing w:line="276" w:lineRule="auto"/>
              <w:rPr>
                <w:rFonts w:eastAsia="Calibri"/>
                <w:sz w:val="18"/>
                <w:szCs w:val="18"/>
                <w:lang w:eastAsia="en-US"/>
              </w:rPr>
            </w:pPr>
          </w:p>
        </w:tc>
        <w:tc>
          <w:tcPr>
            <w:tcW w:w="5105" w:type="dxa"/>
            <w:vMerge/>
          </w:tcPr>
          <w:p w:rsidR="00271AE6" w:rsidRPr="00271AE6" w:rsidRDefault="00271AE6" w:rsidP="00271AE6">
            <w:pPr>
              <w:spacing w:line="276" w:lineRule="auto"/>
              <w:rPr>
                <w:rFonts w:eastAsia="Calibri"/>
                <w:sz w:val="18"/>
                <w:szCs w:val="18"/>
                <w:lang w:eastAsia="en-US"/>
              </w:rPr>
            </w:pPr>
          </w:p>
        </w:tc>
        <w:tc>
          <w:tcPr>
            <w:tcW w:w="1417" w:type="dxa"/>
            <w:vAlign w:val="center"/>
          </w:tcPr>
          <w:p w:rsidR="00271AE6" w:rsidRPr="00271AE6" w:rsidRDefault="00271AE6" w:rsidP="00271AE6">
            <w:pPr>
              <w:widowControl w:val="0"/>
              <w:autoSpaceDE w:val="0"/>
              <w:autoSpaceDN w:val="0"/>
              <w:jc w:val="center"/>
              <w:rPr>
                <w:sz w:val="18"/>
                <w:szCs w:val="18"/>
              </w:rPr>
            </w:pPr>
            <w:r w:rsidRPr="00271AE6">
              <w:rPr>
                <w:sz w:val="18"/>
                <w:szCs w:val="18"/>
              </w:rPr>
              <w:t>2022 год</w:t>
            </w:r>
          </w:p>
        </w:tc>
        <w:tc>
          <w:tcPr>
            <w:tcW w:w="1985" w:type="dxa"/>
            <w:vAlign w:val="center"/>
          </w:tcPr>
          <w:p w:rsidR="00271AE6" w:rsidRPr="00271AE6" w:rsidRDefault="00271AE6" w:rsidP="00271AE6">
            <w:pPr>
              <w:widowControl w:val="0"/>
              <w:autoSpaceDE w:val="0"/>
              <w:autoSpaceDN w:val="0"/>
              <w:jc w:val="center"/>
              <w:rPr>
                <w:rFonts w:eastAsia="Calibri"/>
                <w:sz w:val="18"/>
                <w:szCs w:val="18"/>
                <w:lang w:eastAsia="en-US"/>
              </w:rPr>
            </w:pPr>
            <w:r w:rsidRPr="00271AE6">
              <w:rPr>
                <w:rFonts w:eastAsia="Calibri"/>
                <w:sz w:val="18"/>
                <w:szCs w:val="18"/>
                <w:lang w:eastAsia="en-US"/>
              </w:rPr>
              <w:t>Х</w:t>
            </w:r>
          </w:p>
        </w:tc>
        <w:tc>
          <w:tcPr>
            <w:tcW w:w="2323" w:type="dxa"/>
            <w:vAlign w:val="center"/>
          </w:tcPr>
          <w:p w:rsidR="00271AE6" w:rsidRPr="00271AE6" w:rsidRDefault="00271AE6" w:rsidP="00271AE6">
            <w:pPr>
              <w:widowControl w:val="0"/>
              <w:autoSpaceDE w:val="0"/>
              <w:autoSpaceDN w:val="0"/>
              <w:jc w:val="center"/>
              <w:rPr>
                <w:sz w:val="18"/>
                <w:szCs w:val="18"/>
              </w:rPr>
            </w:pPr>
            <w:r w:rsidRPr="00271AE6">
              <w:rPr>
                <w:sz w:val="18"/>
                <w:szCs w:val="18"/>
              </w:rPr>
              <w:t>1 %</w:t>
            </w:r>
          </w:p>
        </w:tc>
        <w:tc>
          <w:tcPr>
            <w:tcW w:w="1701" w:type="dxa"/>
            <w:vAlign w:val="center"/>
          </w:tcPr>
          <w:p w:rsidR="00271AE6" w:rsidRPr="00271AE6" w:rsidRDefault="00271AE6" w:rsidP="00271AE6">
            <w:pPr>
              <w:widowControl w:val="0"/>
              <w:autoSpaceDE w:val="0"/>
              <w:autoSpaceDN w:val="0"/>
              <w:jc w:val="center"/>
              <w:rPr>
                <w:sz w:val="18"/>
                <w:szCs w:val="18"/>
                <w:highlight w:val="yellow"/>
              </w:rPr>
            </w:pPr>
            <w:r w:rsidRPr="00271AE6">
              <w:rPr>
                <w:sz w:val="18"/>
                <w:szCs w:val="18"/>
                <w:highlight w:val="yellow"/>
              </w:rPr>
              <w:t>000</w:t>
            </w:r>
          </w:p>
        </w:tc>
        <w:tc>
          <w:tcPr>
            <w:tcW w:w="1701" w:type="dxa"/>
            <w:vAlign w:val="center"/>
          </w:tcPr>
          <w:p w:rsidR="00271AE6" w:rsidRPr="00271AE6" w:rsidRDefault="00271AE6" w:rsidP="00271AE6">
            <w:pPr>
              <w:widowControl w:val="0"/>
              <w:autoSpaceDE w:val="0"/>
              <w:autoSpaceDN w:val="0"/>
              <w:jc w:val="center"/>
              <w:rPr>
                <w:sz w:val="18"/>
                <w:szCs w:val="18"/>
                <w:highlight w:val="yellow"/>
              </w:rPr>
            </w:pPr>
            <w:r w:rsidRPr="00271AE6">
              <w:rPr>
                <w:sz w:val="18"/>
                <w:szCs w:val="18"/>
                <w:highlight w:val="yellow"/>
              </w:rPr>
              <w:t>-</w:t>
            </w:r>
          </w:p>
        </w:tc>
      </w:tr>
    </w:tbl>
    <w:p w:rsidR="00271AE6" w:rsidRPr="00271AE6" w:rsidRDefault="00271AE6" w:rsidP="00271AE6">
      <w:pPr>
        <w:widowControl w:val="0"/>
        <w:ind w:left="-426"/>
        <w:jc w:val="center"/>
        <w:rPr>
          <w:rFonts w:eastAsia="Calibri"/>
        </w:rPr>
      </w:pPr>
    </w:p>
    <w:p w:rsidR="00411DF3" w:rsidRDefault="00411DF3" w:rsidP="00155EB5"/>
    <w:p w:rsidR="00271AE6" w:rsidRDefault="00271AE6" w:rsidP="00271AE6">
      <w:pPr>
        <w:widowControl w:val="0"/>
        <w:ind w:left="9356"/>
        <w:rPr>
          <w:sz w:val="28"/>
        </w:rPr>
      </w:pPr>
    </w:p>
    <w:p w:rsidR="00271AE6" w:rsidRDefault="00271AE6" w:rsidP="00271AE6">
      <w:pPr>
        <w:widowControl w:val="0"/>
        <w:ind w:left="9356"/>
        <w:rPr>
          <w:sz w:val="28"/>
        </w:rPr>
      </w:pPr>
    </w:p>
    <w:p w:rsidR="00271AE6" w:rsidRDefault="00271AE6" w:rsidP="00271AE6">
      <w:pPr>
        <w:widowControl w:val="0"/>
        <w:ind w:left="9356"/>
        <w:rPr>
          <w:sz w:val="28"/>
        </w:rPr>
      </w:pPr>
    </w:p>
    <w:p w:rsidR="00271AE6" w:rsidRDefault="00271AE6" w:rsidP="00271AE6">
      <w:pPr>
        <w:widowControl w:val="0"/>
        <w:ind w:left="9356"/>
        <w:rPr>
          <w:sz w:val="28"/>
        </w:rPr>
      </w:pPr>
    </w:p>
    <w:p w:rsidR="00271AE6" w:rsidRDefault="00271AE6" w:rsidP="00271AE6">
      <w:pPr>
        <w:widowControl w:val="0"/>
        <w:ind w:left="9356"/>
        <w:rPr>
          <w:sz w:val="28"/>
        </w:rPr>
      </w:pPr>
    </w:p>
    <w:p w:rsidR="00271AE6" w:rsidRDefault="00271AE6" w:rsidP="00271AE6">
      <w:pPr>
        <w:widowControl w:val="0"/>
        <w:ind w:left="9356"/>
        <w:rPr>
          <w:sz w:val="28"/>
        </w:rPr>
      </w:pPr>
    </w:p>
    <w:p w:rsidR="00271AE6" w:rsidRPr="00271AE6" w:rsidRDefault="00271AE6" w:rsidP="00271AE6">
      <w:pPr>
        <w:widowControl w:val="0"/>
        <w:ind w:left="9356"/>
        <w:rPr>
          <w:sz w:val="28"/>
        </w:rPr>
      </w:pPr>
      <w:r w:rsidRPr="00271AE6">
        <w:rPr>
          <w:sz w:val="28"/>
        </w:rPr>
        <w:lastRenderedPageBreak/>
        <w:t xml:space="preserve">Приложение </w:t>
      </w:r>
      <w:r>
        <w:rPr>
          <w:sz w:val="28"/>
        </w:rPr>
        <w:t>2</w:t>
      </w:r>
    </w:p>
    <w:p w:rsidR="00271AE6" w:rsidRPr="00271AE6" w:rsidRDefault="00271AE6" w:rsidP="00271AE6">
      <w:pPr>
        <w:widowControl w:val="0"/>
        <w:ind w:left="9356"/>
        <w:rPr>
          <w:sz w:val="28"/>
        </w:rPr>
      </w:pPr>
      <w:r w:rsidRPr="00271AE6">
        <w:rPr>
          <w:sz w:val="28"/>
        </w:rPr>
        <w:t>к постановлению Региональной службы</w:t>
      </w:r>
    </w:p>
    <w:p w:rsidR="00271AE6" w:rsidRPr="00271AE6" w:rsidRDefault="00271AE6" w:rsidP="00271AE6">
      <w:pPr>
        <w:widowControl w:val="0"/>
        <w:ind w:left="9356"/>
        <w:rPr>
          <w:sz w:val="28"/>
        </w:rPr>
      </w:pPr>
      <w:r w:rsidRPr="00271AE6">
        <w:rPr>
          <w:sz w:val="28"/>
        </w:rPr>
        <w:t xml:space="preserve">по тарифам и ценам Камчатского края </w:t>
      </w:r>
    </w:p>
    <w:p w:rsidR="00271AE6" w:rsidRPr="00271AE6" w:rsidRDefault="00271AE6" w:rsidP="00271AE6">
      <w:pPr>
        <w:widowControl w:val="0"/>
        <w:ind w:left="9356"/>
        <w:rPr>
          <w:sz w:val="28"/>
        </w:rPr>
      </w:pPr>
      <w:r w:rsidRPr="00271AE6">
        <w:rPr>
          <w:sz w:val="28"/>
        </w:rPr>
        <w:t>от ХХ.12.2019 № ХХ</w:t>
      </w:r>
    </w:p>
    <w:p w:rsidR="00271AE6" w:rsidRPr="00271AE6" w:rsidRDefault="00271AE6" w:rsidP="00271AE6">
      <w:pPr>
        <w:jc w:val="center"/>
      </w:pPr>
    </w:p>
    <w:p w:rsidR="00271AE6" w:rsidRPr="00271AE6" w:rsidRDefault="00271AE6" w:rsidP="00271AE6">
      <w:pPr>
        <w:keepNext/>
        <w:jc w:val="center"/>
        <w:outlineLvl w:val="2"/>
        <w:rPr>
          <w:sz w:val="28"/>
          <w:szCs w:val="28"/>
        </w:rPr>
      </w:pPr>
      <w:r w:rsidRPr="00271AE6">
        <w:rPr>
          <w:sz w:val="28"/>
          <w:szCs w:val="28"/>
        </w:rPr>
        <w:t xml:space="preserve">Экономически обоснованные тарифы на электрическую энергию (мощность), </w:t>
      </w:r>
    </w:p>
    <w:p w:rsidR="00271AE6" w:rsidRPr="00271AE6" w:rsidRDefault="006846DF" w:rsidP="00271AE6">
      <w:pPr>
        <w:keepNext/>
        <w:jc w:val="center"/>
        <w:outlineLvl w:val="2"/>
        <w:rPr>
          <w:sz w:val="28"/>
          <w:szCs w:val="28"/>
        </w:rPr>
      </w:pPr>
      <w:r w:rsidRPr="00D77746">
        <w:rPr>
          <w:bCs/>
          <w:sz w:val="28"/>
        </w:rPr>
        <w:t xml:space="preserve">поставляемую АО «Корякэнерго» </w:t>
      </w:r>
      <w:r w:rsidRPr="00F60A2D">
        <w:rPr>
          <w:sz w:val="28"/>
          <w:szCs w:val="28"/>
        </w:rPr>
        <w:t xml:space="preserve">по объектам электроснабжения горнодобывающих предприятий, осуществляющих деятельность </w:t>
      </w:r>
      <w:r>
        <w:rPr>
          <w:sz w:val="28"/>
          <w:szCs w:val="28"/>
        </w:rPr>
        <w:t>на территории</w:t>
      </w:r>
      <w:r w:rsidRPr="00F60A2D">
        <w:rPr>
          <w:sz w:val="28"/>
          <w:szCs w:val="28"/>
        </w:rPr>
        <w:t xml:space="preserve"> Карагинско</w:t>
      </w:r>
      <w:r>
        <w:rPr>
          <w:sz w:val="28"/>
          <w:szCs w:val="28"/>
        </w:rPr>
        <w:t>го</w:t>
      </w:r>
      <w:r w:rsidRPr="00F60A2D">
        <w:rPr>
          <w:sz w:val="28"/>
          <w:szCs w:val="28"/>
        </w:rPr>
        <w:t xml:space="preserve"> муниципально</w:t>
      </w:r>
      <w:r>
        <w:rPr>
          <w:sz w:val="28"/>
          <w:szCs w:val="28"/>
        </w:rPr>
        <w:t>го</w:t>
      </w:r>
      <w:r w:rsidRPr="00F60A2D">
        <w:rPr>
          <w:sz w:val="28"/>
          <w:szCs w:val="28"/>
        </w:rPr>
        <w:t xml:space="preserve"> район</w:t>
      </w:r>
      <w:r>
        <w:rPr>
          <w:sz w:val="28"/>
          <w:szCs w:val="28"/>
        </w:rPr>
        <w:t>а</w:t>
      </w:r>
      <w:r w:rsidRPr="00F60A2D">
        <w:rPr>
          <w:sz w:val="28"/>
          <w:szCs w:val="28"/>
        </w:rPr>
        <w:t xml:space="preserve"> Камчатского края, месторождение «Озерновское», Елизовско</w:t>
      </w:r>
      <w:r>
        <w:rPr>
          <w:sz w:val="28"/>
          <w:szCs w:val="28"/>
        </w:rPr>
        <w:t>го</w:t>
      </w:r>
      <w:r w:rsidRPr="00F60A2D">
        <w:rPr>
          <w:sz w:val="28"/>
          <w:szCs w:val="28"/>
        </w:rPr>
        <w:t xml:space="preserve"> муниципально</w:t>
      </w:r>
      <w:r>
        <w:rPr>
          <w:sz w:val="28"/>
          <w:szCs w:val="28"/>
        </w:rPr>
        <w:t>го района</w:t>
      </w:r>
      <w:r w:rsidRPr="00F60A2D">
        <w:rPr>
          <w:sz w:val="28"/>
          <w:szCs w:val="28"/>
        </w:rPr>
        <w:t xml:space="preserve"> Камчатского края, месторождение «Асачинское» покупателям на розничном рынке в технологически изолированной электроэнергетической системе по договорам купли-продажи (договорам энергоснабжения)</w:t>
      </w:r>
      <w:r w:rsidR="00271AE6" w:rsidRPr="00271AE6">
        <w:rPr>
          <w:sz w:val="28"/>
          <w:szCs w:val="28"/>
        </w:rPr>
        <w:t xml:space="preserve"> </w:t>
      </w:r>
    </w:p>
    <w:p w:rsidR="00271AE6" w:rsidRPr="00271AE6" w:rsidRDefault="00271AE6" w:rsidP="00271AE6">
      <w:pPr>
        <w:keepNext/>
        <w:jc w:val="center"/>
        <w:outlineLvl w:val="2"/>
        <w:rPr>
          <w:sz w:val="28"/>
          <w:szCs w:val="28"/>
        </w:rPr>
      </w:pPr>
      <w:r w:rsidRPr="00271AE6">
        <w:rPr>
          <w:sz w:val="28"/>
          <w:szCs w:val="28"/>
        </w:rPr>
        <w:t>с 01 января 2020 года по 31 декабря 2022 года</w:t>
      </w:r>
    </w:p>
    <w:tbl>
      <w:tblPr>
        <w:tblW w:w="5041" w:type="pct"/>
        <w:tblCellSpacing w:w="5" w:type="nil"/>
        <w:tblLayout w:type="fixed"/>
        <w:tblCellMar>
          <w:left w:w="75" w:type="dxa"/>
          <w:right w:w="75" w:type="dxa"/>
        </w:tblCellMar>
        <w:tblLook w:val="0000" w:firstRow="0" w:lastRow="0" w:firstColumn="0" w:lastColumn="0" w:noHBand="0" w:noVBand="0"/>
      </w:tblPr>
      <w:tblGrid>
        <w:gridCol w:w="562"/>
        <w:gridCol w:w="2270"/>
        <w:gridCol w:w="760"/>
        <w:gridCol w:w="426"/>
        <w:gridCol w:w="455"/>
        <w:gridCol w:w="502"/>
        <w:gridCol w:w="546"/>
        <w:gridCol w:w="379"/>
        <w:gridCol w:w="499"/>
        <w:gridCol w:w="622"/>
        <w:gridCol w:w="546"/>
        <w:gridCol w:w="455"/>
        <w:gridCol w:w="455"/>
        <w:gridCol w:w="452"/>
        <w:gridCol w:w="461"/>
        <w:gridCol w:w="452"/>
        <w:gridCol w:w="452"/>
        <w:gridCol w:w="452"/>
        <w:gridCol w:w="464"/>
        <w:gridCol w:w="446"/>
        <w:gridCol w:w="446"/>
        <w:gridCol w:w="446"/>
        <w:gridCol w:w="417"/>
        <w:gridCol w:w="446"/>
        <w:gridCol w:w="446"/>
        <w:gridCol w:w="440"/>
        <w:gridCol w:w="382"/>
      </w:tblGrid>
      <w:tr w:rsidR="00271AE6" w:rsidRPr="00271AE6" w:rsidTr="00271AE6">
        <w:trPr>
          <w:tblCellSpacing w:w="5" w:type="nil"/>
        </w:trPr>
        <w:tc>
          <w:tcPr>
            <w:tcW w:w="191" w:type="pct"/>
            <w:vMerge w:val="restart"/>
            <w:tcBorders>
              <w:top w:val="single" w:sz="4" w:space="0" w:color="auto"/>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 п/п </w:t>
            </w:r>
          </w:p>
        </w:tc>
        <w:tc>
          <w:tcPr>
            <w:tcW w:w="773" w:type="pct"/>
            <w:vMerge w:val="restart"/>
            <w:tcBorders>
              <w:top w:val="single" w:sz="4" w:space="0" w:color="auto"/>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Показатель (группы потребителей с разбивкой тарифа по ставкам и дифференциацией по зонам суток)</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22"/>
              </w:rPr>
            </w:pPr>
            <w:r w:rsidRPr="00271AE6">
              <w:rPr>
                <w:sz w:val="20"/>
                <w:szCs w:val="22"/>
              </w:rPr>
              <w:t xml:space="preserve">Единица    </w:t>
            </w:r>
            <w:r w:rsidRPr="00271AE6">
              <w:rPr>
                <w:sz w:val="20"/>
                <w:szCs w:val="22"/>
              </w:rPr>
              <w:br/>
              <w:t xml:space="preserve">  измерения</w:t>
            </w:r>
          </w:p>
        </w:tc>
        <w:tc>
          <w:tcPr>
            <w:tcW w:w="657" w:type="pct"/>
            <w:gridSpan w:val="4"/>
            <w:tcBorders>
              <w:top w:val="single" w:sz="4" w:space="0" w:color="auto"/>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22"/>
              </w:rPr>
            </w:pPr>
            <w:r w:rsidRPr="00271AE6">
              <w:rPr>
                <w:sz w:val="20"/>
                <w:szCs w:val="22"/>
              </w:rPr>
              <w:t>1 полугодие</w:t>
            </w:r>
          </w:p>
          <w:p w:rsidR="00271AE6" w:rsidRPr="00271AE6" w:rsidRDefault="00271AE6" w:rsidP="00271AE6">
            <w:pPr>
              <w:widowControl w:val="0"/>
              <w:autoSpaceDE w:val="0"/>
              <w:autoSpaceDN w:val="0"/>
              <w:adjustRightInd w:val="0"/>
              <w:jc w:val="center"/>
              <w:rPr>
                <w:sz w:val="20"/>
                <w:szCs w:val="22"/>
              </w:rPr>
            </w:pPr>
            <w:r w:rsidRPr="00271AE6">
              <w:rPr>
                <w:sz w:val="20"/>
                <w:szCs w:val="22"/>
              </w:rPr>
              <w:t>01.01.2020г.-30.06.2020г.</w:t>
            </w:r>
          </w:p>
        </w:tc>
        <w:tc>
          <w:tcPr>
            <w:tcW w:w="697" w:type="pct"/>
            <w:gridSpan w:val="4"/>
            <w:tcBorders>
              <w:top w:val="single" w:sz="4" w:space="0" w:color="auto"/>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22"/>
              </w:rPr>
            </w:pPr>
            <w:r w:rsidRPr="00271AE6">
              <w:rPr>
                <w:sz w:val="20"/>
                <w:szCs w:val="22"/>
              </w:rPr>
              <w:t>2 полугодие</w:t>
            </w:r>
          </w:p>
          <w:p w:rsidR="00271AE6" w:rsidRPr="00271AE6" w:rsidRDefault="00271AE6" w:rsidP="00271AE6">
            <w:pPr>
              <w:widowControl w:val="0"/>
              <w:autoSpaceDE w:val="0"/>
              <w:autoSpaceDN w:val="0"/>
              <w:adjustRightInd w:val="0"/>
              <w:jc w:val="center"/>
              <w:rPr>
                <w:sz w:val="20"/>
                <w:szCs w:val="22"/>
              </w:rPr>
            </w:pPr>
            <w:r w:rsidRPr="00271AE6">
              <w:rPr>
                <w:sz w:val="20"/>
                <w:szCs w:val="22"/>
              </w:rPr>
              <w:t>01.07.2020г.-31.12.2020г.</w:t>
            </w:r>
          </w:p>
        </w:tc>
        <w:tc>
          <w:tcPr>
            <w:tcW w:w="621" w:type="pct"/>
            <w:gridSpan w:val="4"/>
            <w:tcBorders>
              <w:top w:val="single" w:sz="4" w:space="0" w:color="auto"/>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1 полугодие</w:t>
            </w:r>
          </w:p>
          <w:p w:rsidR="00271AE6" w:rsidRPr="00271AE6" w:rsidRDefault="00271AE6" w:rsidP="00271AE6">
            <w:pPr>
              <w:widowControl w:val="0"/>
              <w:autoSpaceDE w:val="0"/>
              <w:autoSpaceDN w:val="0"/>
              <w:adjustRightInd w:val="0"/>
              <w:jc w:val="center"/>
              <w:rPr>
                <w:sz w:val="20"/>
                <w:szCs w:val="22"/>
              </w:rPr>
            </w:pPr>
            <w:r w:rsidRPr="00271AE6">
              <w:rPr>
                <w:sz w:val="20"/>
                <w:szCs w:val="22"/>
              </w:rPr>
              <w:t>01.01.2021г.-30.06.2021г.</w:t>
            </w:r>
          </w:p>
        </w:tc>
        <w:tc>
          <w:tcPr>
            <w:tcW w:w="620" w:type="pct"/>
            <w:gridSpan w:val="4"/>
            <w:tcBorders>
              <w:top w:val="single" w:sz="4" w:space="0" w:color="auto"/>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2 полугодие</w:t>
            </w:r>
          </w:p>
          <w:p w:rsidR="00271AE6" w:rsidRPr="00271AE6" w:rsidRDefault="00271AE6" w:rsidP="00271AE6">
            <w:pPr>
              <w:widowControl w:val="0"/>
              <w:autoSpaceDE w:val="0"/>
              <w:autoSpaceDN w:val="0"/>
              <w:adjustRightInd w:val="0"/>
              <w:jc w:val="center"/>
              <w:rPr>
                <w:sz w:val="20"/>
                <w:szCs w:val="22"/>
              </w:rPr>
            </w:pPr>
            <w:r w:rsidRPr="00271AE6">
              <w:rPr>
                <w:sz w:val="20"/>
                <w:szCs w:val="22"/>
              </w:rPr>
              <w:t>01.07.2021г.-31.12.2021г.</w:t>
            </w:r>
          </w:p>
        </w:tc>
        <w:tc>
          <w:tcPr>
            <w:tcW w:w="598" w:type="pct"/>
            <w:gridSpan w:val="4"/>
            <w:tcBorders>
              <w:top w:val="single" w:sz="4" w:space="0" w:color="auto"/>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1 полугодие</w:t>
            </w:r>
          </w:p>
          <w:p w:rsidR="00271AE6" w:rsidRPr="00271AE6" w:rsidRDefault="00271AE6" w:rsidP="00271AE6">
            <w:pPr>
              <w:widowControl w:val="0"/>
              <w:autoSpaceDE w:val="0"/>
              <w:autoSpaceDN w:val="0"/>
              <w:adjustRightInd w:val="0"/>
              <w:jc w:val="center"/>
              <w:rPr>
                <w:sz w:val="20"/>
                <w:szCs w:val="22"/>
              </w:rPr>
            </w:pPr>
            <w:r w:rsidRPr="00271AE6">
              <w:rPr>
                <w:sz w:val="20"/>
                <w:szCs w:val="22"/>
              </w:rPr>
              <w:t>01.01.2022г.-30.06.2022г.</w:t>
            </w:r>
          </w:p>
        </w:tc>
        <w:tc>
          <w:tcPr>
            <w:tcW w:w="584" w:type="pct"/>
            <w:gridSpan w:val="4"/>
            <w:tcBorders>
              <w:top w:val="single" w:sz="4" w:space="0" w:color="auto"/>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2 полугодие</w:t>
            </w:r>
          </w:p>
          <w:p w:rsidR="00271AE6" w:rsidRPr="00271AE6" w:rsidRDefault="00271AE6" w:rsidP="00271AE6">
            <w:pPr>
              <w:widowControl w:val="0"/>
              <w:autoSpaceDE w:val="0"/>
              <w:autoSpaceDN w:val="0"/>
              <w:adjustRightInd w:val="0"/>
              <w:jc w:val="center"/>
              <w:rPr>
                <w:sz w:val="20"/>
                <w:szCs w:val="22"/>
              </w:rPr>
            </w:pPr>
            <w:r w:rsidRPr="00271AE6">
              <w:rPr>
                <w:sz w:val="20"/>
                <w:szCs w:val="22"/>
              </w:rPr>
              <w:t>01.07.2022г.-31.12.2022г.</w:t>
            </w:r>
          </w:p>
        </w:tc>
      </w:tr>
      <w:tr w:rsidR="00271AE6" w:rsidRPr="00271AE6" w:rsidTr="00271AE6">
        <w:trPr>
          <w:tblCellSpacing w:w="5" w:type="nil"/>
        </w:trPr>
        <w:tc>
          <w:tcPr>
            <w:tcW w:w="191" w:type="pct"/>
            <w:vMerge/>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773" w:type="pct"/>
            <w:vMerge/>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259" w:type="pct"/>
            <w:vMerge/>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22"/>
              </w:rPr>
            </w:pPr>
          </w:p>
        </w:tc>
        <w:tc>
          <w:tcPr>
            <w:tcW w:w="657" w:type="pct"/>
            <w:gridSpan w:val="4"/>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22"/>
              </w:rPr>
            </w:pPr>
            <w:r w:rsidRPr="00271AE6">
              <w:rPr>
                <w:sz w:val="20"/>
                <w:szCs w:val="22"/>
              </w:rPr>
              <w:t>Цена (тариф)</w:t>
            </w:r>
          </w:p>
        </w:tc>
        <w:tc>
          <w:tcPr>
            <w:tcW w:w="697" w:type="pct"/>
            <w:gridSpan w:val="4"/>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22"/>
              </w:rPr>
            </w:pPr>
            <w:r w:rsidRPr="00271AE6">
              <w:rPr>
                <w:sz w:val="20"/>
                <w:szCs w:val="22"/>
              </w:rPr>
              <w:t>Цена (тариф)</w:t>
            </w:r>
          </w:p>
        </w:tc>
        <w:tc>
          <w:tcPr>
            <w:tcW w:w="621" w:type="pct"/>
            <w:gridSpan w:val="4"/>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Цена (тариф)</w:t>
            </w:r>
          </w:p>
        </w:tc>
        <w:tc>
          <w:tcPr>
            <w:tcW w:w="620" w:type="pct"/>
            <w:gridSpan w:val="4"/>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Цена (тариф)</w:t>
            </w:r>
          </w:p>
        </w:tc>
        <w:tc>
          <w:tcPr>
            <w:tcW w:w="598" w:type="pct"/>
            <w:gridSpan w:val="4"/>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Цена (тариф)</w:t>
            </w:r>
          </w:p>
        </w:tc>
        <w:tc>
          <w:tcPr>
            <w:tcW w:w="584" w:type="pct"/>
            <w:gridSpan w:val="4"/>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Цена (тариф)</w:t>
            </w:r>
          </w:p>
        </w:tc>
      </w:tr>
      <w:tr w:rsidR="00271AE6" w:rsidRPr="00271AE6" w:rsidTr="00271AE6">
        <w:trPr>
          <w:tblCellSpacing w:w="5" w:type="nil"/>
        </w:trPr>
        <w:tc>
          <w:tcPr>
            <w:tcW w:w="191"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1</w:t>
            </w:r>
          </w:p>
        </w:tc>
        <w:tc>
          <w:tcPr>
            <w:tcW w:w="773"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2</w:t>
            </w:r>
          </w:p>
        </w:tc>
        <w:tc>
          <w:tcPr>
            <w:tcW w:w="259"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3</w:t>
            </w:r>
          </w:p>
        </w:tc>
        <w:tc>
          <w:tcPr>
            <w:tcW w:w="14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4</w:t>
            </w:r>
          </w:p>
        </w:tc>
        <w:tc>
          <w:tcPr>
            <w:tcW w:w="15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5</w:t>
            </w:r>
          </w:p>
        </w:tc>
        <w:tc>
          <w:tcPr>
            <w:tcW w:w="171"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6</w:t>
            </w:r>
          </w:p>
        </w:tc>
        <w:tc>
          <w:tcPr>
            <w:tcW w:w="186"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7</w:t>
            </w:r>
          </w:p>
        </w:tc>
        <w:tc>
          <w:tcPr>
            <w:tcW w:w="129"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8</w:t>
            </w:r>
          </w:p>
        </w:tc>
        <w:tc>
          <w:tcPr>
            <w:tcW w:w="170"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9</w:t>
            </w:r>
          </w:p>
        </w:tc>
        <w:tc>
          <w:tcPr>
            <w:tcW w:w="21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10</w:t>
            </w:r>
          </w:p>
        </w:tc>
        <w:tc>
          <w:tcPr>
            <w:tcW w:w="186"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11</w:t>
            </w:r>
          </w:p>
        </w:tc>
        <w:tc>
          <w:tcPr>
            <w:tcW w:w="15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12</w:t>
            </w:r>
          </w:p>
        </w:tc>
        <w:tc>
          <w:tcPr>
            <w:tcW w:w="15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13</w:t>
            </w: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14</w:t>
            </w:r>
          </w:p>
        </w:tc>
        <w:tc>
          <w:tcPr>
            <w:tcW w:w="157"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15</w:t>
            </w: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16</w:t>
            </w: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17</w:t>
            </w: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18</w:t>
            </w:r>
          </w:p>
        </w:tc>
        <w:tc>
          <w:tcPr>
            <w:tcW w:w="158"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19</w:t>
            </w: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20</w:t>
            </w: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21</w:t>
            </w: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22</w:t>
            </w:r>
          </w:p>
        </w:tc>
        <w:tc>
          <w:tcPr>
            <w:tcW w:w="14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23</w:t>
            </w: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24</w:t>
            </w: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25</w:t>
            </w:r>
          </w:p>
        </w:tc>
        <w:tc>
          <w:tcPr>
            <w:tcW w:w="150"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26</w:t>
            </w:r>
          </w:p>
        </w:tc>
        <w:tc>
          <w:tcPr>
            <w:tcW w:w="130"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27</w:t>
            </w:r>
          </w:p>
        </w:tc>
      </w:tr>
      <w:tr w:rsidR="00271AE6" w:rsidRPr="00271AE6" w:rsidTr="00271AE6">
        <w:trPr>
          <w:tblCellSpacing w:w="5" w:type="nil"/>
        </w:trPr>
        <w:tc>
          <w:tcPr>
            <w:tcW w:w="191"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773"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Прочие потребители </w:t>
            </w:r>
          </w:p>
        </w:tc>
        <w:tc>
          <w:tcPr>
            <w:tcW w:w="259"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ВН</w:t>
            </w:r>
          </w:p>
        </w:tc>
        <w:tc>
          <w:tcPr>
            <w:tcW w:w="15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СН-I</w:t>
            </w:r>
          </w:p>
        </w:tc>
        <w:tc>
          <w:tcPr>
            <w:tcW w:w="171"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СН-II</w:t>
            </w:r>
          </w:p>
        </w:tc>
        <w:tc>
          <w:tcPr>
            <w:tcW w:w="186"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НН</w:t>
            </w:r>
          </w:p>
        </w:tc>
        <w:tc>
          <w:tcPr>
            <w:tcW w:w="129"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ВН</w:t>
            </w:r>
          </w:p>
        </w:tc>
        <w:tc>
          <w:tcPr>
            <w:tcW w:w="170"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СН-1</w:t>
            </w:r>
          </w:p>
        </w:tc>
        <w:tc>
          <w:tcPr>
            <w:tcW w:w="21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СН-II</w:t>
            </w:r>
          </w:p>
        </w:tc>
        <w:tc>
          <w:tcPr>
            <w:tcW w:w="186"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НН</w:t>
            </w:r>
          </w:p>
        </w:tc>
        <w:tc>
          <w:tcPr>
            <w:tcW w:w="15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ВН</w:t>
            </w:r>
          </w:p>
        </w:tc>
        <w:tc>
          <w:tcPr>
            <w:tcW w:w="15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СН-1</w:t>
            </w: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СН-II</w:t>
            </w:r>
          </w:p>
        </w:tc>
        <w:tc>
          <w:tcPr>
            <w:tcW w:w="157"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НН</w:t>
            </w: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ВН</w:t>
            </w: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СН-1</w:t>
            </w: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СН-II</w:t>
            </w:r>
          </w:p>
        </w:tc>
        <w:tc>
          <w:tcPr>
            <w:tcW w:w="158"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НН</w:t>
            </w: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ВН</w:t>
            </w: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СН-1</w:t>
            </w: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СН-II</w:t>
            </w:r>
          </w:p>
        </w:tc>
        <w:tc>
          <w:tcPr>
            <w:tcW w:w="14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НН</w:t>
            </w: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ВН</w:t>
            </w: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СН-1</w:t>
            </w:r>
          </w:p>
        </w:tc>
        <w:tc>
          <w:tcPr>
            <w:tcW w:w="150"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СН-II</w:t>
            </w:r>
          </w:p>
        </w:tc>
        <w:tc>
          <w:tcPr>
            <w:tcW w:w="130"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22"/>
              </w:rPr>
            </w:pPr>
            <w:r w:rsidRPr="00271AE6">
              <w:rPr>
                <w:sz w:val="20"/>
                <w:szCs w:val="22"/>
              </w:rPr>
              <w:t>НН</w:t>
            </w:r>
          </w:p>
        </w:tc>
      </w:tr>
      <w:tr w:rsidR="00271AE6" w:rsidRPr="00271AE6" w:rsidTr="00271AE6">
        <w:trPr>
          <w:tblCellSpacing w:w="5" w:type="nil"/>
        </w:trPr>
        <w:tc>
          <w:tcPr>
            <w:tcW w:w="191"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 1.  </w:t>
            </w:r>
          </w:p>
        </w:tc>
        <w:tc>
          <w:tcPr>
            <w:tcW w:w="773"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Одноставочный тариф           </w:t>
            </w:r>
          </w:p>
        </w:tc>
        <w:tc>
          <w:tcPr>
            <w:tcW w:w="259"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18"/>
              </w:rPr>
            </w:pPr>
            <w:r w:rsidRPr="00271AE6">
              <w:rPr>
                <w:sz w:val="20"/>
                <w:szCs w:val="18"/>
              </w:rPr>
              <w:t xml:space="preserve">руб./кВт·ч    </w:t>
            </w:r>
          </w:p>
        </w:tc>
        <w:tc>
          <w:tcPr>
            <w:tcW w:w="145"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20"/>
                <w:szCs w:val="10"/>
              </w:rPr>
            </w:pPr>
          </w:p>
        </w:tc>
        <w:tc>
          <w:tcPr>
            <w:tcW w:w="155"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20"/>
                <w:szCs w:val="10"/>
              </w:rPr>
            </w:pPr>
          </w:p>
        </w:tc>
        <w:tc>
          <w:tcPr>
            <w:tcW w:w="171"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highlight w:val="yellow"/>
              </w:rPr>
            </w:pPr>
            <w:r w:rsidRPr="00271AE6">
              <w:rPr>
                <w:color w:val="000000"/>
                <w:sz w:val="18"/>
                <w:highlight w:val="yellow"/>
              </w:rPr>
              <w:t>41,001</w:t>
            </w: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highlight w:val="yellow"/>
              </w:rPr>
            </w:pPr>
            <w:r w:rsidRPr="00271AE6">
              <w:rPr>
                <w:color w:val="000000"/>
                <w:sz w:val="18"/>
                <w:highlight w:val="yellow"/>
              </w:rPr>
              <w:t>41,001</w:t>
            </w:r>
          </w:p>
        </w:tc>
        <w:tc>
          <w:tcPr>
            <w:tcW w:w="129" w:type="pct"/>
            <w:tcBorders>
              <w:left w:val="single" w:sz="4" w:space="0" w:color="auto"/>
              <w:bottom w:val="single" w:sz="4" w:space="0" w:color="auto"/>
              <w:right w:val="single" w:sz="4" w:space="0" w:color="auto"/>
            </w:tcBorders>
            <w:vAlign w:val="bottom"/>
          </w:tcPr>
          <w:p w:rsidR="00271AE6" w:rsidRPr="00271AE6" w:rsidRDefault="00271AE6" w:rsidP="00271AE6">
            <w:pPr>
              <w:rPr>
                <w:rFonts w:ascii="Calibri" w:hAnsi="Calibri" w:cs="Calibri"/>
                <w:color w:val="000000"/>
                <w:sz w:val="18"/>
                <w:highlight w:val="yellow"/>
              </w:rPr>
            </w:pPr>
          </w:p>
        </w:tc>
        <w:tc>
          <w:tcPr>
            <w:tcW w:w="17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highlight w:val="yellow"/>
              </w:rPr>
            </w:pPr>
          </w:p>
        </w:tc>
        <w:tc>
          <w:tcPr>
            <w:tcW w:w="21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highlight w:val="yellow"/>
              </w:rPr>
            </w:pPr>
            <w:r w:rsidRPr="00271AE6">
              <w:rPr>
                <w:color w:val="000000"/>
                <w:sz w:val="18"/>
                <w:highlight w:val="yellow"/>
              </w:rPr>
              <w:t>41,001</w:t>
            </w: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highlight w:val="yellow"/>
              </w:rPr>
            </w:pPr>
            <w:r w:rsidRPr="00271AE6">
              <w:rPr>
                <w:color w:val="000000"/>
                <w:sz w:val="18"/>
                <w:highlight w:val="yellow"/>
              </w:rPr>
              <w:t>41,001</w:t>
            </w:r>
          </w:p>
        </w:tc>
        <w:tc>
          <w:tcPr>
            <w:tcW w:w="155" w:type="pct"/>
            <w:tcBorders>
              <w:left w:val="single" w:sz="4" w:space="0" w:color="auto"/>
              <w:bottom w:val="single" w:sz="4" w:space="0" w:color="auto"/>
              <w:right w:val="single" w:sz="4" w:space="0" w:color="auto"/>
            </w:tcBorders>
            <w:vAlign w:val="bottom"/>
          </w:tcPr>
          <w:p w:rsidR="00271AE6" w:rsidRPr="00271AE6" w:rsidRDefault="00271AE6" w:rsidP="00271AE6">
            <w:pPr>
              <w:rPr>
                <w:rFonts w:ascii="Calibri" w:hAnsi="Calibri" w:cs="Calibri"/>
                <w:color w:val="000000"/>
                <w:sz w:val="18"/>
                <w:highlight w:val="yellow"/>
              </w:rPr>
            </w:pPr>
          </w:p>
        </w:tc>
        <w:tc>
          <w:tcPr>
            <w:tcW w:w="155"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highlight w:val="yellow"/>
              </w:rPr>
            </w:pPr>
          </w:p>
        </w:tc>
        <w:tc>
          <w:tcPr>
            <w:tcW w:w="154"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highlight w:val="yellow"/>
              </w:rPr>
            </w:pPr>
            <w:r w:rsidRPr="00271AE6">
              <w:rPr>
                <w:color w:val="000000"/>
                <w:sz w:val="18"/>
                <w:highlight w:val="yellow"/>
              </w:rPr>
              <w:t>41,001</w:t>
            </w:r>
          </w:p>
        </w:tc>
        <w:tc>
          <w:tcPr>
            <w:tcW w:w="157"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highlight w:val="yellow"/>
              </w:rPr>
            </w:pPr>
            <w:r w:rsidRPr="00271AE6">
              <w:rPr>
                <w:color w:val="000000"/>
                <w:sz w:val="18"/>
                <w:highlight w:val="yellow"/>
              </w:rPr>
              <w:t>41,001</w:t>
            </w:r>
          </w:p>
        </w:tc>
        <w:tc>
          <w:tcPr>
            <w:tcW w:w="154" w:type="pct"/>
            <w:tcBorders>
              <w:left w:val="single" w:sz="4" w:space="0" w:color="auto"/>
              <w:bottom w:val="single" w:sz="4" w:space="0" w:color="auto"/>
              <w:right w:val="single" w:sz="4" w:space="0" w:color="auto"/>
            </w:tcBorders>
            <w:vAlign w:val="bottom"/>
          </w:tcPr>
          <w:p w:rsidR="00271AE6" w:rsidRPr="00271AE6" w:rsidRDefault="00271AE6" w:rsidP="00271AE6">
            <w:pPr>
              <w:rPr>
                <w:rFonts w:ascii="Calibri" w:hAnsi="Calibri" w:cs="Calibri"/>
                <w:color w:val="000000"/>
                <w:sz w:val="18"/>
                <w:highlight w:val="yellow"/>
              </w:rPr>
            </w:pPr>
          </w:p>
        </w:tc>
        <w:tc>
          <w:tcPr>
            <w:tcW w:w="154"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highlight w:val="yellow"/>
              </w:rPr>
            </w:pPr>
          </w:p>
        </w:tc>
        <w:tc>
          <w:tcPr>
            <w:tcW w:w="154"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highlight w:val="yellow"/>
              </w:rPr>
            </w:pPr>
            <w:r w:rsidRPr="00271AE6">
              <w:rPr>
                <w:color w:val="000000"/>
                <w:sz w:val="18"/>
                <w:highlight w:val="yellow"/>
              </w:rPr>
              <w:t>41,001</w:t>
            </w:r>
          </w:p>
        </w:tc>
        <w:tc>
          <w:tcPr>
            <w:tcW w:w="158"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highlight w:val="yellow"/>
              </w:rPr>
            </w:pPr>
            <w:r w:rsidRPr="00271AE6">
              <w:rPr>
                <w:color w:val="000000"/>
                <w:sz w:val="18"/>
                <w:highlight w:val="yellow"/>
              </w:rPr>
              <w:t>41,001</w:t>
            </w:r>
          </w:p>
        </w:tc>
        <w:tc>
          <w:tcPr>
            <w:tcW w:w="152" w:type="pct"/>
            <w:tcBorders>
              <w:left w:val="single" w:sz="4" w:space="0" w:color="auto"/>
              <w:bottom w:val="single" w:sz="4" w:space="0" w:color="auto"/>
              <w:right w:val="single" w:sz="4" w:space="0" w:color="auto"/>
            </w:tcBorders>
            <w:vAlign w:val="bottom"/>
          </w:tcPr>
          <w:p w:rsidR="00271AE6" w:rsidRPr="00271AE6" w:rsidRDefault="00271AE6" w:rsidP="00271AE6">
            <w:pPr>
              <w:rPr>
                <w:rFonts w:ascii="Calibri" w:hAnsi="Calibri" w:cs="Calibri"/>
                <w:color w:val="000000"/>
                <w:sz w:val="18"/>
                <w:highlight w:val="yellow"/>
              </w:rPr>
            </w:pPr>
          </w:p>
        </w:tc>
        <w:tc>
          <w:tcPr>
            <w:tcW w:w="15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highlight w:val="yellow"/>
              </w:rPr>
            </w:pPr>
          </w:p>
        </w:tc>
        <w:tc>
          <w:tcPr>
            <w:tcW w:w="15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highlight w:val="yellow"/>
              </w:rPr>
            </w:pPr>
            <w:r w:rsidRPr="00271AE6">
              <w:rPr>
                <w:color w:val="000000"/>
                <w:sz w:val="18"/>
                <w:highlight w:val="yellow"/>
              </w:rPr>
              <w:t>41,001</w:t>
            </w:r>
          </w:p>
        </w:tc>
        <w:tc>
          <w:tcPr>
            <w:tcW w:w="14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highlight w:val="yellow"/>
              </w:rPr>
            </w:pPr>
            <w:r w:rsidRPr="00271AE6">
              <w:rPr>
                <w:color w:val="000000"/>
                <w:sz w:val="18"/>
                <w:highlight w:val="yellow"/>
              </w:rPr>
              <w:t>41,001</w:t>
            </w:r>
          </w:p>
        </w:tc>
        <w:tc>
          <w:tcPr>
            <w:tcW w:w="152" w:type="pct"/>
            <w:tcBorders>
              <w:left w:val="single" w:sz="4" w:space="0" w:color="auto"/>
              <w:bottom w:val="single" w:sz="4" w:space="0" w:color="auto"/>
              <w:right w:val="single" w:sz="4" w:space="0" w:color="auto"/>
            </w:tcBorders>
            <w:vAlign w:val="bottom"/>
          </w:tcPr>
          <w:p w:rsidR="00271AE6" w:rsidRPr="00271AE6" w:rsidRDefault="00271AE6" w:rsidP="00271AE6">
            <w:pPr>
              <w:rPr>
                <w:rFonts w:ascii="Calibri" w:hAnsi="Calibri" w:cs="Calibri"/>
                <w:color w:val="000000"/>
                <w:sz w:val="18"/>
                <w:highlight w:val="yellow"/>
              </w:rPr>
            </w:pPr>
          </w:p>
        </w:tc>
        <w:tc>
          <w:tcPr>
            <w:tcW w:w="15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highlight w:val="yellow"/>
              </w:rPr>
            </w:pPr>
          </w:p>
        </w:tc>
        <w:tc>
          <w:tcPr>
            <w:tcW w:w="15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highlight w:val="yellow"/>
              </w:rPr>
            </w:pPr>
            <w:r w:rsidRPr="00271AE6">
              <w:rPr>
                <w:color w:val="000000"/>
                <w:sz w:val="18"/>
                <w:highlight w:val="yellow"/>
              </w:rPr>
              <w:t>41,001</w:t>
            </w:r>
          </w:p>
        </w:tc>
        <w:tc>
          <w:tcPr>
            <w:tcW w:w="13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highlight w:val="yellow"/>
              </w:rPr>
            </w:pPr>
            <w:r w:rsidRPr="00271AE6">
              <w:rPr>
                <w:color w:val="000000"/>
                <w:sz w:val="18"/>
                <w:highlight w:val="yellow"/>
              </w:rPr>
              <w:t>41,001</w:t>
            </w:r>
          </w:p>
        </w:tc>
      </w:tr>
      <w:tr w:rsidR="00271AE6" w:rsidRPr="00271AE6" w:rsidTr="00271AE6">
        <w:trPr>
          <w:tblCellSpacing w:w="5" w:type="nil"/>
        </w:trPr>
        <w:tc>
          <w:tcPr>
            <w:tcW w:w="191"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 2.  </w:t>
            </w:r>
          </w:p>
        </w:tc>
        <w:tc>
          <w:tcPr>
            <w:tcW w:w="773"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Трехставочный тариф</w:t>
            </w:r>
            <w:r w:rsidRPr="00271AE6">
              <w:rPr>
                <w:sz w:val="20"/>
                <w:szCs w:val="22"/>
                <w:vertAlign w:val="superscript"/>
              </w:rPr>
              <w:t>1</w:t>
            </w:r>
            <w:r w:rsidRPr="00271AE6">
              <w:rPr>
                <w:sz w:val="20"/>
                <w:szCs w:val="22"/>
              </w:rPr>
              <w:t xml:space="preserve">           </w:t>
            </w:r>
          </w:p>
        </w:tc>
        <w:tc>
          <w:tcPr>
            <w:tcW w:w="259"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18"/>
              </w:rPr>
            </w:pPr>
          </w:p>
        </w:tc>
        <w:tc>
          <w:tcPr>
            <w:tcW w:w="145"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55"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71"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29"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70"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212"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8"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4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0"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30"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r>
      <w:tr w:rsidR="00271AE6" w:rsidRPr="00271AE6" w:rsidTr="00271AE6">
        <w:trPr>
          <w:tblCellSpacing w:w="5" w:type="nil"/>
        </w:trPr>
        <w:tc>
          <w:tcPr>
            <w:tcW w:w="191"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2.1. </w:t>
            </w:r>
          </w:p>
        </w:tc>
        <w:tc>
          <w:tcPr>
            <w:tcW w:w="773"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ставка стоимости единицы электрической мощности </w:t>
            </w:r>
          </w:p>
        </w:tc>
        <w:tc>
          <w:tcPr>
            <w:tcW w:w="259"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18"/>
              </w:rPr>
            </w:pPr>
            <w:r w:rsidRPr="00271AE6">
              <w:rPr>
                <w:sz w:val="20"/>
                <w:szCs w:val="18"/>
              </w:rPr>
              <w:t xml:space="preserve">руб./кВт·мес. </w:t>
            </w:r>
          </w:p>
        </w:tc>
        <w:tc>
          <w:tcPr>
            <w:tcW w:w="145"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55"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71"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29"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70"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212"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8"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4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0"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30"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r>
      <w:tr w:rsidR="00271AE6" w:rsidRPr="00271AE6" w:rsidTr="00271AE6">
        <w:trPr>
          <w:tblCellSpacing w:w="5" w:type="nil"/>
        </w:trPr>
        <w:tc>
          <w:tcPr>
            <w:tcW w:w="191"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2.2. </w:t>
            </w:r>
          </w:p>
        </w:tc>
        <w:tc>
          <w:tcPr>
            <w:tcW w:w="773"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ставка стоимости единицы электрической мощности  </w:t>
            </w:r>
          </w:p>
        </w:tc>
        <w:tc>
          <w:tcPr>
            <w:tcW w:w="259"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18"/>
              </w:rPr>
            </w:pPr>
            <w:bookmarkStart w:id="0" w:name="Par2030"/>
            <w:bookmarkEnd w:id="0"/>
            <w:r w:rsidRPr="00271AE6">
              <w:rPr>
                <w:sz w:val="20"/>
                <w:szCs w:val="18"/>
              </w:rPr>
              <w:t xml:space="preserve">руб./кВт·мес. </w:t>
            </w:r>
          </w:p>
        </w:tc>
        <w:tc>
          <w:tcPr>
            <w:tcW w:w="145"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55"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71"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29"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70"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212"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8"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4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0"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30"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r>
      <w:tr w:rsidR="00271AE6" w:rsidRPr="00271AE6" w:rsidTr="00271AE6">
        <w:trPr>
          <w:tblCellSpacing w:w="5" w:type="nil"/>
        </w:trPr>
        <w:tc>
          <w:tcPr>
            <w:tcW w:w="191"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2.3. </w:t>
            </w:r>
          </w:p>
        </w:tc>
        <w:tc>
          <w:tcPr>
            <w:tcW w:w="773"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ставка стоимости единицы электрической энергии         </w:t>
            </w:r>
          </w:p>
        </w:tc>
        <w:tc>
          <w:tcPr>
            <w:tcW w:w="259"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18"/>
              </w:rPr>
            </w:pPr>
            <w:r w:rsidRPr="00271AE6">
              <w:rPr>
                <w:sz w:val="20"/>
                <w:szCs w:val="18"/>
              </w:rPr>
              <w:t xml:space="preserve">руб./кВт·ч    </w:t>
            </w:r>
          </w:p>
        </w:tc>
        <w:tc>
          <w:tcPr>
            <w:tcW w:w="145"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55"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71"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29"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70"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212"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widowControl w:val="0"/>
              <w:autoSpaceDE w:val="0"/>
              <w:autoSpaceDN w:val="0"/>
              <w:adjustRightInd w:val="0"/>
              <w:jc w:val="center"/>
              <w:rPr>
                <w:sz w:val="20"/>
                <w:szCs w:val="18"/>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8"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4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50"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c>
          <w:tcPr>
            <w:tcW w:w="130"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jc w:val="center"/>
              <w:rPr>
                <w:sz w:val="20"/>
                <w:szCs w:val="18"/>
              </w:rPr>
            </w:pPr>
          </w:p>
        </w:tc>
      </w:tr>
      <w:tr w:rsidR="00271AE6" w:rsidRPr="00271AE6" w:rsidTr="00271AE6">
        <w:trPr>
          <w:tblCellSpacing w:w="5" w:type="nil"/>
        </w:trPr>
        <w:tc>
          <w:tcPr>
            <w:tcW w:w="191"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 3.  </w:t>
            </w:r>
          </w:p>
        </w:tc>
        <w:tc>
          <w:tcPr>
            <w:tcW w:w="2386" w:type="pct"/>
            <w:gridSpan w:val="10"/>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Одноставочные тарифы, дифференцированные по трем зонам суток</w:t>
            </w:r>
            <w:r w:rsidRPr="00271AE6">
              <w:rPr>
                <w:sz w:val="20"/>
                <w:szCs w:val="22"/>
                <w:vertAlign w:val="superscript"/>
              </w:rPr>
              <w:t>2</w:t>
            </w:r>
            <w:r w:rsidRPr="00271AE6">
              <w:rPr>
                <w:sz w:val="20"/>
                <w:szCs w:val="22"/>
              </w:rPr>
              <w:t xml:space="preserve">                              </w:t>
            </w:r>
          </w:p>
        </w:tc>
        <w:tc>
          <w:tcPr>
            <w:tcW w:w="15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8"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4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0"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30"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r>
      <w:tr w:rsidR="00271AE6" w:rsidRPr="00271AE6" w:rsidTr="00271AE6">
        <w:trPr>
          <w:tblCellSpacing w:w="5" w:type="nil"/>
        </w:trPr>
        <w:tc>
          <w:tcPr>
            <w:tcW w:w="191"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3.1. </w:t>
            </w:r>
          </w:p>
        </w:tc>
        <w:tc>
          <w:tcPr>
            <w:tcW w:w="773"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 ночная зона                 </w:t>
            </w:r>
          </w:p>
        </w:tc>
        <w:tc>
          <w:tcPr>
            <w:tcW w:w="259"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18"/>
              </w:rPr>
            </w:pPr>
            <w:r w:rsidRPr="00271AE6">
              <w:rPr>
                <w:sz w:val="20"/>
                <w:szCs w:val="18"/>
              </w:rPr>
              <w:t xml:space="preserve">руб./кВт·ч    </w:t>
            </w:r>
          </w:p>
        </w:tc>
        <w:tc>
          <w:tcPr>
            <w:tcW w:w="145"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20"/>
                <w:szCs w:val="18"/>
              </w:rPr>
            </w:pPr>
            <w:r w:rsidRPr="00271AE6">
              <w:rPr>
                <w:color w:val="000000"/>
                <w:sz w:val="20"/>
                <w:szCs w:val="18"/>
              </w:rPr>
              <w:t> </w:t>
            </w:r>
          </w:p>
        </w:tc>
        <w:tc>
          <w:tcPr>
            <w:tcW w:w="155"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20"/>
                <w:szCs w:val="20"/>
              </w:rPr>
            </w:pPr>
          </w:p>
        </w:tc>
        <w:tc>
          <w:tcPr>
            <w:tcW w:w="171"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29"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p>
        </w:tc>
        <w:tc>
          <w:tcPr>
            <w:tcW w:w="17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p>
        </w:tc>
        <w:tc>
          <w:tcPr>
            <w:tcW w:w="21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55"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16"/>
                <w:szCs w:val="20"/>
                <w:highlight w:val="yellow"/>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4"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57"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54"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4"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58"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4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3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r>
      <w:tr w:rsidR="00271AE6" w:rsidRPr="00271AE6" w:rsidTr="00271AE6">
        <w:trPr>
          <w:tblCellSpacing w:w="5" w:type="nil"/>
        </w:trPr>
        <w:tc>
          <w:tcPr>
            <w:tcW w:w="191"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3.2. </w:t>
            </w:r>
          </w:p>
        </w:tc>
        <w:tc>
          <w:tcPr>
            <w:tcW w:w="773"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 полупиковая зона            </w:t>
            </w:r>
          </w:p>
        </w:tc>
        <w:tc>
          <w:tcPr>
            <w:tcW w:w="259"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18"/>
              </w:rPr>
            </w:pPr>
            <w:r w:rsidRPr="00271AE6">
              <w:rPr>
                <w:sz w:val="20"/>
                <w:szCs w:val="18"/>
              </w:rPr>
              <w:t xml:space="preserve">руб./кВт·ч    </w:t>
            </w:r>
          </w:p>
        </w:tc>
        <w:tc>
          <w:tcPr>
            <w:tcW w:w="145"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20"/>
                <w:szCs w:val="18"/>
              </w:rPr>
            </w:pPr>
            <w:r w:rsidRPr="00271AE6">
              <w:rPr>
                <w:color w:val="000000"/>
                <w:sz w:val="20"/>
                <w:szCs w:val="18"/>
              </w:rPr>
              <w:t> </w:t>
            </w:r>
          </w:p>
        </w:tc>
        <w:tc>
          <w:tcPr>
            <w:tcW w:w="155"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20"/>
                <w:szCs w:val="20"/>
              </w:rPr>
            </w:pPr>
          </w:p>
        </w:tc>
        <w:tc>
          <w:tcPr>
            <w:tcW w:w="171"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41,001</w:t>
            </w: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41,001</w:t>
            </w:r>
          </w:p>
        </w:tc>
        <w:tc>
          <w:tcPr>
            <w:tcW w:w="129"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p>
        </w:tc>
        <w:tc>
          <w:tcPr>
            <w:tcW w:w="17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p>
        </w:tc>
        <w:tc>
          <w:tcPr>
            <w:tcW w:w="21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41,001</w:t>
            </w: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41,001</w:t>
            </w:r>
          </w:p>
        </w:tc>
        <w:tc>
          <w:tcPr>
            <w:tcW w:w="155"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16"/>
                <w:szCs w:val="20"/>
                <w:highlight w:val="yellow"/>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4"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41,001</w:t>
            </w:r>
          </w:p>
        </w:tc>
        <w:tc>
          <w:tcPr>
            <w:tcW w:w="157"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41,001</w:t>
            </w:r>
          </w:p>
        </w:tc>
        <w:tc>
          <w:tcPr>
            <w:tcW w:w="154"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4"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41,001</w:t>
            </w:r>
          </w:p>
        </w:tc>
        <w:tc>
          <w:tcPr>
            <w:tcW w:w="158"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41,001</w:t>
            </w: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41,001</w:t>
            </w:r>
          </w:p>
        </w:tc>
        <w:tc>
          <w:tcPr>
            <w:tcW w:w="14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41,001</w:t>
            </w: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41,001</w:t>
            </w:r>
          </w:p>
        </w:tc>
        <w:tc>
          <w:tcPr>
            <w:tcW w:w="13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41,001</w:t>
            </w:r>
          </w:p>
        </w:tc>
      </w:tr>
      <w:tr w:rsidR="00271AE6" w:rsidRPr="00271AE6" w:rsidTr="00271AE6">
        <w:trPr>
          <w:tblCellSpacing w:w="5" w:type="nil"/>
        </w:trPr>
        <w:tc>
          <w:tcPr>
            <w:tcW w:w="191"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3.3. </w:t>
            </w:r>
          </w:p>
        </w:tc>
        <w:tc>
          <w:tcPr>
            <w:tcW w:w="773"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 пиковая зона                </w:t>
            </w:r>
          </w:p>
        </w:tc>
        <w:tc>
          <w:tcPr>
            <w:tcW w:w="259"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18"/>
              </w:rPr>
            </w:pPr>
            <w:r w:rsidRPr="00271AE6">
              <w:rPr>
                <w:sz w:val="20"/>
                <w:szCs w:val="18"/>
              </w:rPr>
              <w:t xml:space="preserve">руб./кВт·ч    </w:t>
            </w:r>
          </w:p>
        </w:tc>
        <w:tc>
          <w:tcPr>
            <w:tcW w:w="145"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20"/>
                <w:szCs w:val="18"/>
              </w:rPr>
            </w:pPr>
            <w:r w:rsidRPr="00271AE6">
              <w:rPr>
                <w:color w:val="000000"/>
                <w:sz w:val="20"/>
                <w:szCs w:val="18"/>
              </w:rPr>
              <w:t> </w:t>
            </w:r>
          </w:p>
        </w:tc>
        <w:tc>
          <w:tcPr>
            <w:tcW w:w="155"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20"/>
                <w:szCs w:val="20"/>
              </w:rPr>
            </w:pPr>
          </w:p>
        </w:tc>
        <w:tc>
          <w:tcPr>
            <w:tcW w:w="171"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49,201</w:t>
            </w: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sz w:val="18"/>
                <w:szCs w:val="20"/>
                <w:highlight w:val="yellow"/>
              </w:rPr>
            </w:pPr>
            <w:r w:rsidRPr="00271AE6">
              <w:rPr>
                <w:sz w:val="18"/>
                <w:szCs w:val="20"/>
                <w:highlight w:val="yellow"/>
              </w:rPr>
              <w:t>49,201</w:t>
            </w:r>
          </w:p>
        </w:tc>
        <w:tc>
          <w:tcPr>
            <w:tcW w:w="129"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p>
        </w:tc>
        <w:tc>
          <w:tcPr>
            <w:tcW w:w="17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p>
        </w:tc>
        <w:tc>
          <w:tcPr>
            <w:tcW w:w="21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49,201</w:t>
            </w: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sz w:val="18"/>
                <w:szCs w:val="20"/>
                <w:highlight w:val="yellow"/>
              </w:rPr>
            </w:pPr>
            <w:r w:rsidRPr="00271AE6">
              <w:rPr>
                <w:sz w:val="18"/>
                <w:szCs w:val="20"/>
                <w:highlight w:val="yellow"/>
              </w:rPr>
              <w:t>49,201</w:t>
            </w:r>
          </w:p>
        </w:tc>
        <w:tc>
          <w:tcPr>
            <w:tcW w:w="155" w:type="pct"/>
            <w:tcBorders>
              <w:left w:val="single" w:sz="4" w:space="0" w:color="auto"/>
              <w:bottom w:val="single" w:sz="4" w:space="0" w:color="auto"/>
              <w:right w:val="single" w:sz="4" w:space="0" w:color="auto"/>
            </w:tcBorders>
          </w:tcPr>
          <w:p w:rsidR="00271AE6" w:rsidRPr="00271AE6" w:rsidRDefault="00271AE6" w:rsidP="00271AE6">
            <w:pPr>
              <w:jc w:val="center"/>
              <w:rPr>
                <w:sz w:val="16"/>
                <w:szCs w:val="20"/>
                <w:highlight w:val="yellow"/>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jc w:val="center"/>
              <w:rPr>
                <w:sz w:val="20"/>
                <w:szCs w:val="20"/>
                <w:highlight w:val="yellow"/>
              </w:rPr>
            </w:pPr>
          </w:p>
        </w:tc>
        <w:tc>
          <w:tcPr>
            <w:tcW w:w="154"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49,201</w:t>
            </w:r>
          </w:p>
        </w:tc>
        <w:tc>
          <w:tcPr>
            <w:tcW w:w="157"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sz w:val="18"/>
                <w:szCs w:val="20"/>
                <w:highlight w:val="yellow"/>
              </w:rPr>
            </w:pPr>
            <w:r w:rsidRPr="00271AE6">
              <w:rPr>
                <w:sz w:val="18"/>
                <w:szCs w:val="20"/>
                <w:highlight w:val="yellow"/>
              </w:rPr>
              <w:t>49,201</w:t>
            </w:r>
          </w:p>
        </w:tc>
        <w:tc>
          <w:tcPr>
            <w:tcW w:w="154" w:type="pct"/>
            <w:tcBorders>
              <w:left w:val="single" w:sz="4" w:space="0" w:color="auto"/>
              <w:bottom w:val="single" w:sz="4" w:space="0" w:color="auto"/>
              <w:right w:val="single" w:sz="4" w:space="0" w:color="auto"/>
            </w:tcBorders>
          </w:tcPr>
          <w:p w:rsidR="00271AE6" w:rsidRPr="00271AE6" w:rsidRDefault="00271AE6" w:rsidP="00271AE6">
            <w:pPr>
              <w:jc w:val="center"/>
              <w:rPr>
                <w:sz w:val="20"/>
                <w:szCs w:val="20"/>
                <w:highlight w:val="yellow"/>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jc w:val="center"/>
              <w:rPr>
                <w:sz w:val="20"/>
                <w:szCs w:val="20"/>
                <w:highlight w:val="yellow"/>
              </w:rPr>
            </w:pPr>
          </w:p>
        </w:tc>
        <w:tc>
          <w:tcPr>
            <w:tcW w:w="154"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49,201</w:t>
            </w:r>
          </w:p>
        </w:tc>
        <w:tc>
          <w:tcPr>
            <w:tcW w:w="158"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sz w:val="18"/>
                <w:szCs w:val="20"/>
                <w:highlight w:val="yellow"/>
              </w:rPr>
            </w:pPr>
            <w:r w:rsidRPr="00271AE6">
              <w:rPr>
                <w:sz w:val="18"/>
                <w:szCs w:val="20"/>
                <w:highlight w:val="yellow"/>
              </w:rPr>
              <w:t>49,201</w:t>
            </w: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sz w:val="20"/>
                <w:szCs w:val="20"/>
                <w:highlight w:val="yellow"/>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sz w:val="20"/>
                <w:szCs w:val="20"/>
                <w:highlight w:val="yellow"/>
              </w:rPr>
            </w:pPr>
          </w:p>
        </w:tc>
        <w:tc>
          <w:tcPr>
            <w:tcW w:w="15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49,201</w:t>
            </w:r>
          </w:p>
        </w:tc>
        <w:tc>
          <w:tcPr>
            <w:tcW w:w="14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sz w:val="18"/>
                <w:szCs w:val="20"/>
                <w:highlight w:val="yellow"/>
              </w:rPr>
            </w:pPr>
            <w:r w:rsidRPr="00271AE6">
              <w:rPr>
                <w:sz w:val="18"/>
                <w:szCs w:val="20"/>
                <w:highlight w:val="yellow"/>
              </w:rPr>
              <w:t>49,201</w:t>
            </w: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sz w:val="20"/>
                <w:szCs w:val="20"/>
                <w:highlight w:val="yellow"/>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sz w:val="20"/>
                <w:szCs w:val="20"/>
                <w:highlight w:val="yellow"/>
              </w:rPr>
            </w:pPr>
          </w:p>
        </w:tc>
        <w:tc>
          <w:tcPr>
            <w:tcW w:w="15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49,201</w:t>
            </w:r>
          </w:p>
        </w:tc>
        <w:tc>
          <w:tcPr>
            <w:tcW w:w="13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sz w:val="18"/>
                <w:szCs w:val="20"/>
                <w:highlight w:val="yellow"/>
              </w:rPr>
            </w:pPr>
            <w:r w:rsidRPr="00271AE6">
              <w:rPr>
                <w:sz w:val="18"/>
                <w:szCs w:val="20"/>
                <w:highlight w:val="yellow"/>
              </w:rPr>
              <w:t>49,201</w:t>
            </w:r>
          </w:p>
        </w:tc>
      </w:tr>
      <w:tr w:rsidR="00271AE6" w:rsidRPr="00271AE6" w:rsidTr="00271AE6">
        <w:trPr>
          <w:tblCellSpacing w:w="5" w:type="nil"/>
        </w:trPr>
        <w:tc>
          <w:tcPr>
            <w:tcW w:w="191"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773"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259"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18"/>
              </w:rPr>
            </w:pPr>
          </w:p>
        </w:tc>
        <w:tc>
          <w:tcPr>
            <w:tcW w:w="145"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20"/>
                <w:szCs w:val="18"/>
              </w:rPr>
            </w:pPr>
          </w:p>
        </w:tc>
        <w:tc>
          <w:tcPr>
            <w:tcW w:w="155"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20"/>
                <w:szCs w:val="20"/>
              </w:rPr>
            </w:pPr>
          </w:p>
        </w:tc>
        <w:tc>
          <w:tcPr>
            <w:tcW w:w="171"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sz w:val="18"/>
                <w:szCs w:val="20"/>
                <w:highlight w:val="yellow"/>
              </w:rPr>
            </w:pPr>
          </w:p>
        </w:tc>
        <w:tc>
          <w:tcPr>
            <w:tcW w:w="129"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p>
        </w:tc>
        <w:tc>
          <w:tcPr>
            <w:tcW w:w="17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p>
        </w:tc>
        <w:tc>
          <w:tcPr>
            <w:tcW w:w="21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sz w:val="18"/>
                <w:szCs w:val="20"/>
                <w:highlight w:val="yellow"/>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jc w:val="center"/>
              <w:rPr>
                <w:sz w:val="16"/>
                <w:szCs w:val="20"/>
                <w:highlight w:val="yellow"/>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jc w:val="center"/>
              <w:rPr>
                <w:sz w:val="20"/>
                <w:szCs w:val="20"/>
                <w:highlight w:val="yellow"/>
              </w:rPr>
            </w:pPr>
          </w:p>
        </w:tc>
        <w:tc>
          <w:tcPr>
            <w:tcW w:w="154"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p>
        </w:tc>
        <w:tc>
          <w:tcPr>
            <w:tcW w:w="157"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sz w:val="18"/>
                <w:szCs w:val="20"/>
                <w:highlight w:val="yellow"/>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jc w:val="center"/>
              <w:rPr>
                <w:sz w:val="20"/>
                <w:szCs w:val="20"/>
                <w:highlight w:val="yellow"/>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jc w:val="center"/>
              <w:rPr>
                <w:sz w:val="20"/>
                <w:szCs w:val="20"/>
                <w:highlight w:val="yellow"/>
              </w:rPr>
            </w:pPr>
          </w:p>
        </w:tc>
        <w:tc>
          <w:tcPr>
            <w:tcW w:w="154"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p>
        </w:tc>
        <w:tc>
          <w:tcPr>
            <w:tcW w:w="158"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sz w:val="18"/>
                <w:szCs w:val="20"/>
                <w:highlight w:val="yellow"/>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sz w:val="20"/>
                <w:szCs w:val="20"/>
                <w:highlight w:val="yellow"/>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sz w:val="20"/>
                <w:szCs w:val="20"/>
                <w:highlight w:val="yellow"/>
              </w:rPr>
            </w:pPr>
          </w:p>
        </w:tc>
        <w:tc>
          <w:tcPr>
            <w:tcW w:w="15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p>
        </w:tc>
        <w:tc>
          <w:tcPr>
            <w:tcW w:w="14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sz w:val="18"/>
                <w:szCs w:val="20"/>
                <w:highlight w:val="yellow"/>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sz w:val="20"/>
                <w:szCs w:val="20"/>
                <w:highlight w:val="yellow"/>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sz w:val="20"/>
                <w:szCs w:val="20"/>
                <w:highlight w:val="yellow"/>
              </w:rPr>
            </w:pPr>
          </w:p>
        </w:tc>
        <w:tc>
          <w:tcPr>
            <w:tcW w:w="15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p>
        </w:tc>
        <w:tc>
          <w:tcPr>
            <w:tcW w:w="13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sz w:val="18"/>
                <w:szCs w:val="20"/>
                <w:highlight w:val="yellow"/>
              </w:rPr>
            </w:pPr>
          </w:p>
        </w:tc>
      </w:tr>
      <w:tr w:rsidR="00271AE6" w:rsidRPr="00271AE6" w:rsidTr="00271AE6">
        <w:trPr>
          <w:tblCellSpacing w:w="5" w:type="nil"/>
        </w:trPr>
        <w:tc>
          <w:tcPr>
            <w:tcW w:w="191"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 4.  </w:t>
            </w:r>
          </w:p>
        </w:tc>
        <w:tc>
          <w:tcPr>
            <w:tcW w:w="2386" w:type="pct"/>
            <w:gridSpan w:val="10"/>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Одноставочные тарифы, дифференцированные по двум зонам суток</w:t>
            </w:r>
            <w:r w:rsidRPr="00271AE6">
              <w:rPr>
                <w:sz w:val="20"/>
                <w:szCs w:val="22"/>
                <w:vertAlign w:val="superscript"/>
              </w:rPr>
              <w:t>2</w:t>
            </w:r>
            <w:r w:rsidRPr="00271AE6">
              <w:rPr>
                <w:sz w:val="20"/>
                <w:szCs w:val="22"/>
              </w:rPr>
              <w:t xml:space="preserve">                              </w:t>
            </w:r>
          </w:p>
        </w:tc>
        <w:tc>
          <w:tcPr>
            <w:tcW w:w="15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8"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4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50"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c>
          <w:tcPr>
            <w:tcW w:w="130"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p>
        </w:tc>
      </w:tr>
      <w:tr w:rsidR="00271AE6" w:rsidRPr="00271AE6" w:rsidTr="00271AE6">
        <w:trPr>
          <w:tblCellSpacing w:w="5" w:type="nil"/>
        </w:trPr>
        <w:tc>
          <w:tcPr>
            <w:tcW w:w="191"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4.1. </w:t>
            </w:r>
          </w:p>
        </w:tc>
        <w:tc>
          <w:tcPr>
            <w:tcW w:w="773"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 ночная зона                 </w:t>
            </w:r>
          </w:p>
        </w:tc>
        <w:tc>
          <w:tcPr>
            <w:tcW w:w="259"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18"/>
              </w:rPr>
            </w:pPr>
            <w:r w:rsidRPr="00271AE6">
              <w:rPr>
                <w:sz w:val="20"/>
                <w:szCs w:val="18"/>
              </w:rPr>
              <w:t xml:space="preserve">руб./кВт·ч    </w:t>
            </w:r>
          </w:p>
        </w:tc>
        <w:tc>
          <w:tcPr>
            <w:tcW w:w="145"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20"/>
                <w:szCs w:val="18"/>
              </w:rPr>
            </w:pPr>
          </w:p>
        </w:tc>
        <w:tc>
          <w:tcPr>
            <w:tcW w:w="155"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20"/>
                <w:szCs w:val="20"/>
              </w:rPr>
            </w:pPr>
          </w:p>
        </w:tc>
        <w:tc>
          <w:tcPr>
            <w:tcW w:w="171"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29"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p>
        </w:tc>
        <w:tc>
          <w:tcPr>
            <w:tcW w:w="17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p>
        </w:tc>
        <w:tc>
          <w:tcPr>
            <w:tcW w:w="21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55"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4"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57"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54"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4"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58"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4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c>
          <w:tcPr>
            <w:tcW w:w="13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32,801</w:t>
            </w:r>
          </w:p>
        </w:tc>
      </w:tr>
      <w:tr w:rsidR="00271AE6" w:rsidRPr="00271AE6" w:rsidTr="00271AE6">
        <w:trPr>
          <w:tblCellSpacing w:w="5" w:type="nil"/>
        </w:trPr>
        <w:tc>
          <w:tcPr>
            <w:tcW w:w="191"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4.2. </w:t>
            </w:r>
          </w:p>
        </w:tc>
        <w:tc>
          <w:tcPr>
            <w:tcW w:w="773"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22"/>
              </w:rPr>
            </w:pPr>
            <w:r w:rsidRPr="00271AE6">
              <w:rPr>
                <w:sz w:val="20"/>
                <w:szCs w:val="22"/>
              </w:rPr>
              <w:t xml:space="preserve">- дневная зона (пиковая и полупиковая)          </w:t>
            </w:r>
          </w:p>
        </w:tc>
        <w:tc>
          <w:tcPr>
            <w:tcW w:w="259" w:type="pct"/>
            <w:tcBorders>
              <w:left w:val="single" w:sz="4" w:space="0" w:color="auto"/>
              <w:bottom w:val="single" w:sz="4" w:space="0" w:color="auto"/>
              <w:right w:val="single" w:sz="4" w:space="0" w:color="auto"/>
            </w:tcBorders>
          </w:tcPr>
          <w:p w:rsidR="00271AE6" w:rsidRPr="00271AE6" w:rsidRDefault="00271AE6" w:rsidP="00271AE6">
            <w:pPr>
              <w:widowControl w:val="0"/>
              <w:autoSpaceDE w:val="0"/>
              <w:autoSpaceDN w:val="0"/>
              <w:adjustRightInd w:val="0"/>
              <w:rPr>
                <w:sz w:val="20"/>
                <w:szCs w:val="18"/>
              </w:rPr>
            </w:pPr>
            <w:r w:rsidRPr="00271AE6">
              <w:rPr>
                <w:sz w:val="20"/>
                <w:szCs w:val="18"/>
              </w:rPr>
              <w:t xml:space="preserve">руб./кВт·ч    </w:t>
            </w:r>
          </w:p>
        </w:tc>
        <w:tc>
          <w:tcPr>
            <w:tcW w:w="145"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20"/>
                <w:szCs w:val="18"/>
              </w:rPr>
            </w:pPr>
          </w:p>
        </w:tc>
        <w:tc>
          <w:tcPr>
            <w:tcW w:w="155"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20"/>
                <w:szCs w:val="20"/>
              </w:rPr>
            </w:pPr>
          </w:p>
        </w:tc>
        <w:tc>
          <w:tcPr>
            <w:tcW w:w="171"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47,151</w:t>
            </w: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47,151</w:t>
            </w:r>
          </w:p>
        </w:tc>
        <w:tc>
          <w:tcPr>
            <w:tcW w:w="129"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p>
        </w:tc>
        <w:tc>
          <w:tcPr>
            <w:tcW w:w="17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p>
        </w:tc>
        <w:tc>
          <w:tcPr>
            <w:tcW w:w="21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47,151</w:t>
            </w:r>
          </w:p>
        </w:tc>
        <w:tc>
          <w:tcPr>
            <w:tcW w:w="186"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47,151</w:t>
            </w:r>
          </w:p>
        </w:tc>
        <w:tc>
          <w:tcPr>
            <w:tcW w:w="155"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4"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47,151</w:t>
            </w:r>
          </w:p>
        </w:tc>
        <w:tc>
          <w:tcPr>
            <w:tcW w:w="157"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47,151</w:t>
            </w:r>
          </w:p>
        </w:tc>
        <w:tc>
          <w:tcPr>
            <w:tcW w:w="154"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4"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4"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47,151</w:t>
            </w:r>
          </w:p>
        </w:tc>
        <w:tc>
          <w:tcPr>
            <w:tcW w:w="158"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47,151</w:t>
            </w: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47,151</w:t>
            </w:r>
          </w:p>
        </w:tc>
        <w:tc>
          <w:tcPr>
            <w:tcW w:w="142"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47,151</w:t>
            </w: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2" w:type="pct"/>
            <w:tcBorders>
              <w:left w:val="single" w:sz="4" w:space="0" w:color="auto"/>
              <w:bottom w:val="single" w:sz="4" w:space="0" w:color="auto"/>
              <w:right w:val="single" w:sz="4" w:space="0" w:color="auto"/>
            </w:tcBorders>
          </w:tcPr>
          <w:p w:rsidR="00271AE6" w:rsidRPr="00271AE6" w:rsidRDefault="00271AE6" w:rsidP="00271AE6">
            <w:pPr>
              <w:jc w:val="center"/>
              <w:rPr>
                <w:color w:val="000000"/>
                <w:sz w:val="20"/>
                <w:szCs w:val="20"/>
                <w:highlight w:val="yellow"/>
              </w:rPr>
            </w:pPr>
          </w:p>
        </w:tc>
        <w:tc>
          <w:tcPr>
            <w:tcW w:w="15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47,151</w:t>
            </w:r>
          </w:p>
        </w:tc>
        <w:tc>
          <w:tcPr>
            <w:tcW w:w="130" w:type="pct"/>
            <w:tcBorders>
              <w:left w:val="single" w:sz="4" w:space="0" w:color="auto"/>
              <w:bottom w:val="single" w:sz="4" w:space="0" w:color="auto"/>
              <w:right w:val="single" w:sz="4" w:space="0" w:color="auto"/>
            </w:tcBorders>
            <w:vAlign w:val="center"/>
          </w:tcPr>
          <w:p w:rsidR="00271AE6" w:rsidRPr="00271AE6" w:rsidRDefault="00271AE6" w:rsidP="00271AE6">
            <w:pPr>
              <w:jc w:val="center"/>
              <w:rPr>
                <w:color w:val="000000"/>
                <w:sz w:val="18"/>
                <w:szCs w:val="20"/>
                <w:highlight w:val="yellow"/>
              </w:rPr>
            </w:pPr>
            <w:r w:rsidRPr="00271AE6">
              <w:rPr>
                <w:color w:val="000000"/>
                <w:sz w:val="18"/>
                <w:szCs w:val="20"/>
                <w:highlight w:val="yellow"/>
              </w:rPr>
              <w:t>47,151</w:t>
            </w:r>
          </w:p>
        </w:tc>
      </w:tr>
    </w:tbl>
    <w:p w:rsidR="00271AE6" w:rsidRPr="00F60A2D" w:rsidRDefault="00271AE6" w:rsidP="00271AE6">
      <w:pPr>
        <w:tabs>
          <w:tab w:val="left" w:pos="525"/>
          <w:tab w:val="right" w:pos="9355"/>
        </w:tabs>
        <w:ind w:firstLine="709"/>
        <w:jc w:val="both"/>
        <w:rPr>
          <w:bCs/>
          <w:sz w:val="20"/>
          <w:szCs w:val="20"/>
        </w:rPr>
      </w:pPr>
      <w:r w:rsidRPr="00F60A2D">
        <w:rPr>
          <w:bCs/>
          <w:sz w:val="20"/>
          <w:szCs w:val="20"/>
        </w:rPr>
        <w:t xml:space="preserve">Примечание: </w:t>
      </w:r>
    </w:p>
    <w:p w:rsidR="00271AE6" w:rsidRPr="0050528C" w:rsidRDefault="00271AE6" w:rsidP="00271AE6">
      <w:pPr>
        <w:ind w:firstLine="709"/>
        <w:jc w:val="both"/>
        <w:rPr>
          <w:sz w:val="20"/>
          <w:szCs w:val="20"/>
        </w:rPr>
      </w:pPr>
      <w:r w:rsidRPr="00F60A2D">
        <w:rPr>
          <w:sz w:val="20"/>
          <w:szCs w:val="20"/>
        </w:rPr>
        <w:t xml:space="preserve">&lt;1&gt; В данном приложении указаны тарифы на электрическую энергию (мощность), производимую электростанциями АО «Корякэнерго» по объектам электроснабжения горнодобывающих предприятий, осуществляющих деятельность </w:t>
      </w:r>
      <w:r>
        <w:rPr>
          <w:sz w:val="20"/>
          <w:szCs w:val="20"/>
        </w:rPr>
        <w:t>на территории</w:t>
      </w:r>
      <w:r w:rsidRPr="00F60A2D">
        <w:rPr>
          <w:sz w:val="20"/>
          <w:szCs w:val="20"/>
        </w:rPr>
        <w:t xml:space="preserve"> Карагинско</w:t>
      </w:r>
      <w:r>
        <w:rPr>
          <w:sz w:val="20"/>
          <w:szCs w:val="20"/>
        </w:rPr>
        <w:t>го</w:t>
      </w:r>
      <w:r w:rsidRPr="00F60A2D">
        <w:rPr>
          <w:sz w:val="20"/>
          <w:szCs w:val="20"/>
        </w:rPr>
        <w:t xml:space="preserve"> муниципально</w:t>
      </w:r>
      <w:r>
        <w:rPr>
          <w:sz w:val="20"/>
          <w:szCs w:val="20"/>
        </w:rPr>
        <w:t>го района</w:t>
      </w:r>
      <w:r w:rsidRPr="00F60A2D">
        <w:rPr>
          <w:sz w:val="20"/>
          <w:szCs w:val="20"/>
        </w:rPr>
        <w:t xml:space="preserve"> Камчатского края, месторождение «Озерновское», Елизовско</w:t>
      </w:r>
      <w:r>
        <w:rPr>
          <w:sz w:val="20"/>
          <w:szCs w:val="20"/>
        </w:rPr>
        <w:t>го</w:t>
      </w:r>
      <w:r w:rsidRPr="00F60A2D">
        <w:rPr>
          <w:sz w:val="20"/>
          <w:szCs w:val="20"/>
        </w:rPr>
        <w:t xml:space="preserve"> муниципально</w:t>
      </w:r>
      <w:r>
        <w:rPr>
          <w:sz w:val="20"/>
          <w:szCs w:val="20"/>
        </w:rPr>
        <w:t>го</w:t>
      </w:r>
      <w:r w:rsidRPr="00F60A2D">
        <w:rPr>
          <w:sz w:val="20"/>
          <w:szCs w:val="20"/>
        </w:rPr>
        <w:t xml:space="preserve"> район</w:t>
      </w:r>
      <w:r>
        <w:rPr>
          <w:sz w:val="20"/>
          <w:szCs w:val="20"/>
        </w:rPr>
        <w:t>а</w:t>
      </w:r>
      <w:r w:rsidRPr="00F60A2D">
        <w:rPr>
          <w:sz w:val="20"/>
          <w:szCs w:val="20"/>
        </w:rPr>
        <w:t xml:space="preserve"> Камчатского края, месторождение «Асачинское», с использованием которых осуществляется производство и поставка электрической энергии (мощности) на розничном рынке;</w:t>
      </w:r>
    </w:p>
    <w:p w:rsidR="00271AE6" w:rsidRDefault="00271AE6" w:rsidP="00271AE6">
      <w:pPr>
        <w:ind w:firstLine="709"/>
      </w:pPr>
      <w:r w:rsidRPr="0050528C">
        <w:rPr>
          <w:sz w:val="20"/>
          <w:szCs w:val="20"/>
        </w:rPr>
        <w:t>&lt;2&gt; Трехставочный тариф на территории Камчатского края в соответствии с пунктом 78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не устанавливается.</w:t>
      </w:r>
    </w:p>
    <w:p w:rsidR="00271AE6" w:rsidRPr="00271AE6" w:rsidRDefault="00271AE6" w:rsidP="00271AE6">
      <w:pPr>
        <w:keepNext/>
        <w:jc w:val="center"/>
        <w:outlineLvl w:val="2"/>
        <w:rPr>
          <w:sz w:val="28"/>
          <w:szCs w:val="28"/>
        </w:rPr>
      </w:pPr>
    </w:p>
    <w:p w:rsidR="00271AE6" w:rsidRDefault="00271AE6" w:rsidP="00155EB5">
      <w:pPr>
        <w:sectPr w:rsidR="00271AE6" w:rsidSect="00271AE6">
          <w:pgSz w:w="16838" w:h="11906" w:orient="landscape"/>
          <w:pgMar w:top="1134" w:right="1134" w:bottom="567" w:left="1134" w:header="709" w:footer="709" w:gutter="0"/>
          <w:cols w:space="708"/>
          <w:docGrid w:linePitch="360"/>
        </w:sectPr>
      </w:pPr>
    </w:p>
    <w:p w:rsidR="00271AE6" w:rsidRPr="00271AE6" w:rsidRDefault="00271AE6" w:rsidP="00271AE6">
      <w:pPr>
        <w:widowControl w:val="0"/>
        <w:ind w:left="9356" w:firstLine="283"/>
        <w:rPr>
          <w:rFonts w:eastAsia="Calibri"/>
          <w:sz w:val="28"/>
        </w:rPr>
      </w:pPr>
      <w:r>
        <w:rPr>
          <w:rFonts w:eastAsia="Calibri"/>
          <w:sz w:val="28"/>
        </w:rPr>
        <w:lastRenderedPageBreak/>
        <w:t>П</w:t>
      </w:r>
      <w:r w:rsidRPr="00271AE6">
        <w:rPr>
          <w:rFonts w:eastAsia="Calibri"/>
          <w:sz w:val="28"/>
        </w:rPr>
        <w:t xml:space="preserve">риложение </w:t>
      </w:r>
      <w:r>
        <w:rPr>
          <w:rFonts w:eastAsia="Calibri"/>
          <w:sz w:val="28"/>
        </w:rPr>
        <w:t>3</w:t>
      </w:r>
    </w:p>
    <w:p w:rsidR="00271AE6" w:rsidRPr="00271AE6" w:rsidRDefault="00271AE6" w:rsidP="00271AE6">
      <w:pPr>
        <w:widowControl w:val="0"/>
        <w:ind w:left="9356" w:firstLine="283"/>
        <w:rPr>
          <w:rFonts w:eastAsia="Calibri"/>
          <w:sz w:val="28"/>
        </w:rPr>
      </w:pPr>
      <w:r w:rsidRPr="00271AE6">
        <w:rPr>
          <w:rFonts w:eastAsia="Calibri"/>
          <w:sz w:val="28"/>
        </w:rPr>
        <w:t>к постановлению Региональной службы</w:t>
      </w:r>
    </w:p>
    <w:p w:rsidR="00271AE6" w:rsidRPr="00271AE6" w:rsidRDefault="00271AE6" w:rsidP="00271AE6">
      <w:pPr>
        <w:widowControl w:val="0"/>
        <w:ind w:left="9356" w:firstLine="283"/>
        <w:rPr>
          <w:rFonts w:eastAsia="Calibri"/>
          <w:sz w:val="28"/>
        </w:rPr>
      </w:pPr>
      <w:r w:rsidRPr="00271AE6">
        <w:rPr>
          <w:rFonts w:eastAsia="Calibri"/>
          <w:sz w:val="28"/>
        </w:rPr>
        <w:t xml:space="preserve">по тарифам и ценам Камчатского края </w:t>
      </w:r>
    </w:p>
    <w:p w:rsidR="00271AE6" w:rsidRPr="00271AE6" w:rsidRDefault="00271AE6" w:rsidP="00271AE6">
      <w:pPr>
        <w:widowControl w:val="0"/>
        <w:ind w:left="9356" w:firstLine="283"/>
        <w:rPr>
          <w:rFonts w:eastAsia="Calibri"/>
          <w:sz w:val="28"/>
        </w:rPr>
      </w:pPr>
      <w:r w:rsidRPr="00271AE6">
        <w:rPr>
          <w:rFonts w:eastAsia="Calibri"/>
          <w:sz w:val="28"/>
        </w:rPr>
        <w:t>от ХХ.12.2019 № ХХ</w:t>
      </w:r>
    </w:p>
    <w:p w:rsidR="00411DF3" w:rsidRDefault="00411DF3" w:rsidP="00155EB5"/>
    <w:p w:rsidR="00044129" w:rsidRPr="00271AE6" w:rsidRDefault="00044129" w:rsidP="00044129">
      <w:pPr>
        <w:jc w:val="center"/>
        <w:rPr>
          <w:sz w:val="28"/>
          <w:szCs w:val="28"/>
        </w:rPr>
      </w:pPr>
      <w:r w:rsidRPr="00271AE6">
        <w:rPr>
          <w:sz w:val="28"/>
          <w:szCs w:val="28"/>
        </w:rPr>
        <w:t xml:space="preserve">Тарифы на электрическую энергию (мощность), отпускаемую АО «Корякэнерго» по объектам электроснабжения горнодобывающих предприятий, осуществляющих деятельность на территории Карагинского муниципального района Камчатского края, месторождение «Озерновское», Елизовского муниципального района Камчатского края, месторождение «Асачинское», другим гарантирующим поставщикам, энергоснабжающим, энергосбытовым организациям Камчатского края в целях поставки группе «прочие потребители» и группе «сетевые организации, покупающие электрическую энергию для компенсации потерь» на розничных рынках в технологически изолированных территориальных 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044129" w:rsidRPr="00271AE6" w:rsidRDefault="00044129" w:rsidP="00044129">
      <w:pPr>
        <w:jc w:val="center"/>
        <w:rPr>
          <w:sz w:val="28"/>
          <w:szCs w:val="28"/>
          <w:vertAlign w:val="superscript"/>
        </w:rPr>
      </w:pPr>
      <w:r w:rsidRPr="00271AE6">
        <w:rPr>
          <w:sz w:val="28"/>
          <w:szCs w:val="28"/>
        </w:rPr>
        <w:t>(тарифы указываются без НДС)</w:t>
      </w:r>
      <w:r w:rsidRPr="00271AE6">
        <w:rPr>
          <w:sz w:val="28"/>
          <w:szCs w:val="28"/>
          <w:vertAlign w:val="superscript"/>
        </w:rPr>
        <w:t>1</w:t>
      </w:r>
    </w:p>
    <w:p w:rsidR="00044129" w:rsidRPr="00385AC6" w:rsidRDefault="00044129" w:rsidP="00044129">
      <w:pPr>
        <w:jc w:val="center"/>
        <w:rPr>
          <w:sz w:val="28"/>
          <w:szCs w:val="28"/>
        </w:rPr>
      </w:pPr>
    </w:p>
    <w:tbl>
      <w:tblPr>
        <w:tblW w:w="5129" w:type="pct"/>
        <w:tblCellSpacing w:w="5" w:type="nil"/>
        <w:tblLayout w:type="fixed"/>
        <w:tblCellMar>
          <w:left w:w="75" w:type="dxa"/>
          <w:right w:w="75" w:type="dxa"/>
        </w:tblCellMar>
        <w:tblLook w:val="0000" w:firstRow="0" w:lastRow="0" w:firstColumn="0" w:lastColumn="0" w:noHBand="0" w:noVBand="0"/>
      </w:tblPr>
      <w:tblGrid>
        <w:gridCol w:w="635"/>
        <w:gridCol w:w="1974"/>
        <w:gridCol w:w="1037"/>
        <w:gridCol w:w="350"/>
        <w:gridCol w:w="433"/>
        <w:gridCol w:w="565"/>
        <w:gridCol w:w="535"/>
        <w:gridCol w:w="364"/>
        <w:gridCol w:w="463"/>
        <w:gridCol w:w="583"/>
        <w:gridCol w:w="481"/>
        <w:gridCol w:w="463"/>
        <w:gridCol w:w="457"/>
        <w:gridCol w:w="457"/>
        <w:gridCol w:w="469"/>
        <w:gridCol w:w="457"/>
        <w:gridCol w:w="457"/>
        <w:gridCol w:w="457"/>
        <w:gridCol w:w="469"/>
        <w:gridCol w:w="457"/>
        <w:gridCol w:w="457"/>
        <w:gridCol w:w="457"/>
        <w:gridCol w:w="442"/>
        <w:gridCol w:w="484"/>
        <w:gridCol w:w="475"/>
        <w:gridCol w:w="475"/>
        <w:gridCol w:w="583"/>
      </w:tblGrid>
      <w:tr w:rsidR="00271AE6" w:rsidRPr="00271AE6" w:rsidTr="006846DF">
        <w:tblPrEx>
          <w:tblCellMar>
            <w:top w:w="0" w:type="dxa"/>
            <w:bottom w:w="0" w:type="dxa"/>
          </w:tblCellMar>
        </w:tblPrEx>
        <w:trPr>
          <w:tblCellSpacing w:w="5" w:type="nil"/>
        </w:trPr>
        <w:tc>
          <w:tcPr>
            <w:tcW w:w="213" w:type="pct"/>
            <w:vMerge w:val="restar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   N   </w:t>
            </w:r>
            <w:r w:rsidRPr="00271AE6">
              <w:rPr>
                <w:rFonts w:eastAsia="Calibri"/>
                <w:sz w:val="20"/>
                <w:szCs w:val="20"/>
              </w:rPr>
              <w:br/>
              <w:t xml:space="preserve">  п/п  </w:t>
            </w:r>
          </w:p>
        </w:tc>
        <w:tc>
          <w:tcPr>
            <w:tcW w:w="661" w:type="pct"/>
            <w:vMerge w:val="restar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Наименование организации (тарифы с разбивкой по составляющим и дифференциацией по зонам   суток)            </w:t>
            </w:r>
          </w:p>
        </w:tc>
        <w:tc>
          <w:tcPr>
            <w:tcW w:w="347" w:type="pct"/>
            <w:vMerge w:val="restar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    Единица    </w:t>
            </w:r>
            <w:r w:rsidRPr="00271AE6">
              <w:rPr>
                <w:rFonts w:eastAsia="Calibri"/>
                <w:sz w:val="20"/>
                <w:szCs w:val="20"/>
              </w:rPr>
              <w:br/>
              <w:t xml:space="preserve">   измерения   </w:t>
            </w:r>
          </w:p>
        </w:tc>
        <w:tc>
          <w:tcPr>
            <w:tcW w:w="630" w:type="pct"/>
            <w:gridSpan w:val="4"/>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1 полугодие</w:t>
            </w:r>
          </w:p>
          <w:p w:rsidR="00271AE6" w:rsidRPr="00271AE6" w:rsidRDefault="00271AE6" w:rsidP="00271AE6">
            <w:pPr>
              <w:autoSpaceDE w:val="0"/>
              <w:autoSpaceDN w:val="0"/>
              <w:adjustRightInd w:val="0"/>
              <w:jc w:val="center"/>
              <w:rPr>
                <w:rFonts w:eastAsia="Calibri"/>
                <w:sz w:val="20"/>
                <w:szCs w:val="20"/>
              </w:rPr>
            </w:pPr>
            <w:r w:rsidRPr="00271AE6">
              <w:rPr>
                <w:sz w:val="20"/>
                <w:szCs w:val="20"/>
              </w:rPr>
              <w:t>01.01.2020г.-30.06.2020г.</w:t>
            </w:r>
          </w:p>
        </w:tc>
        <w:tc>
          <w:tcPr>
            <w:tcW w:w="632" w:type="pct"/>
            <w:gridSpan w:val="4"/>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2 полугодие</w:t>
            </w:r>
          </w:p>
          <w:p w:rsidR="00271AE6" w:rsidRPr="00271AE6" w:rsidRDefault="00271AE6" w:rsidP="00271AE6">
            <w:pPr>
              <w:widowControl w:val="0"/>
              <w:autoSpaceDE w:val="0"/>
              <w:autoSpaceDN w:val="0"/>
              <w:adjustRightInd w:val="0"/>
              <w:jc w:val="center"/>
              <w:rPr>
                <w:rFonts w:eastAsia="Calibri"/>
                <w:sz w:val="20"/>
                <w:szCs w:val="20"/>
              </w:rPr>
            </w:pPr>
            <w:r w:rsidRPr="00271AE6">
              <w:rPr>
                <w:sz w:val="20"/>
                <w:szCs w:val="20"/>
              </w:rPr>
              <w:t>01.07.2020г.-31.12.2020г.</w:t>
            </w:r>
          </w:p>
        </w:tc>
        <w:tc>
          <w:tcPr>
            <w:tcW w:w="618" w:type="pct"/>
            <w:gridSpan w:val="4"/>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1 полугодие</w:t>
            </w:r>
          </w:p>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01.01.2021г.-30.06.2021г.</w:t>
            </w:r>
          </w:p>
        </w:tc>
        <w:tc>
          <w:tcPr>
            <w:tcW w:w="616" w:type="pct"/>
            <w:gridSpan w:val="4"/>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2 полугодие</w:t>
            </w:r>
          </w:p>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01.07.2021г.-31.12.2021г.</w:t>
            </w:r>
          </w:p>
        </w:tc>
        <w:tc>
          <w:tcPr>
            <w:tcW w:w="607" w:type="pct"/>
            <w:gridSpan w:val="4"/>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1 полугодие</w:t>
            </w:r>
          </w:p>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01.01.2022г.-30.06.2022г.</w:t>
            </w:r>
          </w:p>
        </w:tc>
        <w:tc>
          <w:tcPr>
            <w:tcW w:w="676" w:type="pct"/>
            <w:gridSpan w:val="4"/>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2 полугодие</w:t>
            </w:r>
          </w:p>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01.07.2022г.-31.12.2022г.</w:t>
            </w:r>
          </w:p>
        </w:tc>
      </w:tr>
      <w:tr w:rsidR="00271AE6" w:rsidRPr="00271AE6" w:rsidTr="006846DF">
        <w:tblPrEx>
          <w:tblCellMar>
            <w:top w:w="0" w:type="dxa"/>
            <w:bottom w:w="0" w:type="dxa"/>
          </w:tblCellMar>
        </w:tblPrEx>
        <w:trPr>
          <w:tblCellSpacing w:w="5" w:type="nil"/>
        </w:trPr>
        <w:tc>
          <w:tcPr>
            <w:tcW w:w="213" w:type="pct"/>
            <w:vMerge/>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661" w:type="pct"/>
            <w:vMerge/>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347" w:type="pct"/>
            <w:vMerge/>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ВН</w:t>
            </w: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СН-I</w:t>
            </w: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СН-II</w:t>
            </w: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НН</w:t>
            </w: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ВН</w:t>
            </w: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СН-I</w:t>
            </w: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СН-II</w:t>
            </w: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НН</w:t>
            </w: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ВН</w:t>
            </w: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СН-I</w:t>
            </w: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СН-II</w:t>
            </w: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НН</w:t>
            </w: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ВН</w:t>
            </w: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СН-I</w:t>
            </w: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СН-II</w:t>
            </w: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НН</w:t>
            </w: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ВН</w:t>
            </w: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СН-I</w:t>
            </w: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СН-II</w:t>
            </w: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НН</w:t>
            </w: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ВН</w:t>
            </w: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СН-I</w:t>
            </w: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СН-II</w:t>
            </w: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НН</w:t>
            </w:r>
          </w:p>
        </w:tc>
      </w:tr>
      <w:tr w:rsidR="00271AE6" w:rsidRPr="00271AE6" w:rsidTr="006846DF">
        <w:tblPrEx>
          <w:tblCellMar>
            <w:top w:w="0" w:type="dxa"/>
            <w:bottom w:w="0" w:type="dxa"/>
          </w:tblCellMar>
        </w:tblPrEx>
        <w:trPr>
          <w:tblCellSpacing w:w="5" w:type="nil"/>
        </w:trPr>
        <w:tc>
          <w:tcPr>
            <w:tcW w:w="21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1</w:t>
            </w:r>
          </w:p>
        </w:tc>
        <w:tc>
          <w:tcPr>
            <w:tcW w:w="661"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2</w:t>
            </w: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3</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4</w:t>
            </w: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5</w:t>
            </w: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6</w:t>
            </w: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7</w:t>
            </w: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8</w:t>
            </w: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9</w:t>
            </w: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10</w:t>
            </w: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11</w:t>
            </w: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12</w:t>
            </w: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13</w:t>
            </w: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14</w:t>
            </w: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15</w:t>
            </w: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16</w:t>
            </w: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17</w:t>
            </w: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18</w:t>
            </w: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19</w:t>
            </w: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20</w:t>
            </w: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21</w:t>
            </w: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22</w:t>
            </w: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23</w:t>
            </w: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24</w:t>
            </w: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25</w:t>
            </w: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26</w:t>
            </w: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r w:rsidRPr="00271AE6">
              <w:rPr>
                <w:rFonts w:eastAsia="Calibri"/>
                <w:sz w:val="20"/>
                <w:szCs w:val="20"/>
              </w:rPr>
              <w:t>27</w:t>
            </w:r>
          </w:p>
        </w:tc>
      </w:tr>
      <w:tr w:rsidR="00271AE6" w:rsidRPr="00271AE6" w:rsidTr="00271AE6">
        <w:tblPrEx>
          <w:tblCellMar>
            <w:top w:w="0" w:type="dxa"/>
            <w:bottom w:w="0" w:type="dxa"/>
          </w:tblCellMar>
        </w:tblPrEx>
        <w:trPr>
          <w:tblCellSpacing w:w="5" w:type="nil"/>
        </w:trPr>
        <w:tc>
          <w:tcPr>
            <w:tcW w:w="213" w:type="pct"/>
            <w:tcBorders>
              <w:left w:val="single" w:sz="4" w:space="0" w:color="auto"/>
              <w:bottom w:val="single" w:sz="4" w:space="0" w:color="auto"/>
              <w:right w:val="single" w:sz="4" w:space="0" w:color="auto"/>
            </w:tcBorders>
          </w:tcPr>
          <w:p w:rsidR="00271AE6" w:rsidRPr="00271AE6" w:rsidRDefault="00271AE6" w:rsidP="00271AE6">
            <w:pPr>
              <w:jc w:val="center"/>
              <w:rPr>
                <w:b/>
                <w:sz w:val="20"/>
                <w:szCs w:val="20"/>
              </w:rPr>
            </w:pPr>
            <w:r w:rsidRPr="00271AE6">
              <w:rPr>
                <w:b/>
                <w:sz w:val="20"/>
                <w:szCs w:val="20"/>
                <w:lang w:val="en-US"/>
              </w:rPr>
              <w:t>I</w:t>
            </w:r>
            <w:r w:rsidRPr="00271AE6">
              <w:rPr>
                <w:b/>
                <w:sz w:val="20"/>
                <w:szCs w:val="20"/>
              </w:rPr>
              <w:t>.</w:t>
            </w:r>
          </w:p>
        </w:tc>
        <w:tc>
          <w:tcPr>
            <w:tcW w:w="4787" w:type="pct"/>
            <w:gridSpan w:val="26"/>
            <w:tcBorders>
              <w:left w:val="single" w:sz="4" w:space="0" w:color="auto"/>
              <w:bottom w:val="single" w:sz="4" w:space="0" w:color="auto"/>
              <w:right w:val="single" w:sz="4" w:space="0" w:color="auto"/>
            </w:tcBorders>
          </w:tcPr>
          <w:p w:rsidR="00271AE6" w:rsidRPr="00271AE6" w:rsidRDefault="006846DF" w:rsidP="006846DF">
            <w:pPr>
              <w:autoSpaceDE w:val="0"/>
              <w:autoSpaceDN w:val="0"/>
              <w:adjustRightInd w:val="0"/>
              <w:rPr>
                <w:b/>
                <w:sz w:val="20"/>
                <w:szCs w:val="20"/>
              </w:rPr>
            </w:pPr>
            <w:r w:rsidRPr="006846DF">
              <w:rPr>
                <w:b/>
                <w:sz w:val="20"/>
                <w:szCs w:val="20"/>
              </w:rPr>
              <w:t>АО «Корякэнерго» по объектам электроснабжения горнодобывающих предприятий Карагинс</w:t>
            </w:r>
            <w:r>
              <w:rPr>
                <w:b/>
                <w:sz w:val="20"/>
                <w:szCs w:val="20"/>
              </w:rPr>
              <w:t>к</w:t>
            </w:r>
            <w:r w:rsidRPr="006846DF">
              <w:rPr>
                <w:b/>
                <w:sz w:val="20"/>
                <w:szCs w:val="20"/>
              </w:rPr>
              <w:t>ого муниципальног</w:t>
            </w:r>
            <w:r>
              <w:rPr>
                <w:b/>
                <w:sz w:val="20"/>
                <w:szCs w:val="20"/>
              </w:rPr>
              <w:t>о района, месторождение «Озернов</w:t>
            </w:r>
            <w:bookmarkStart w:id="1" w:name="_GoBack"/>
            <w:bookmarkEnd w:id="1"/>
            <w:r w:rsidRPr="006846DF">
              <w:rPr>
                <w:b/>
                <w:sz w:val="20"/>
                <w:szCs w:val="20"/>
              </w:rPr>
              <w:t>ское», Елизовского муниципального района, месторождение «Асачинское» - ПАО «Камчатскэнерго»</w:t>
            </w:r>
            <w:r w:rsidR="00271AE6" w:rsidRPr="00271AE6">
              <w:rPr>
                <w:b/>
                <w:sz w:val="20"/>
                <w:szCs w:val="20"/>
              </w:rPr>
              <w:t xml:space="preserve"> </w:t>
            </w:r>
          </w:p>
        </w:tc>
      </w:tr>
      <w:tr w:rsidR="00271AE6" w:rsidRPr="00271AE6" w:rsidTr="006846DF">
        <w:tblPrEx>
          <w:tblCellMar>
            <w:top w:w="0" w:type="dxa"/>
            <w:bottom w:w="0" w:type="dxa"/>
          </w:tblCellMar>
        </w:tblPrEx>
        <w:trPr>
          <w:tblCellSpacing w:w="5" w:type="nil"/>
        </w:trPr>
        <w:tc>
          <w:tcPr>
            <w:tcW w:w="21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  1.   </w:t>
            </w:r>
          </w:p>
        </w:tc>
        <w:tc>
          <w:tcPr>
            <w:tcW w:w="661"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Одноставочный тариф покупки </w:t>
            </w: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руб./кВт·ч     </w:t>
            </w:r>
          </w:p>
        </w:tc>
        <w:tc>
          <w:tcPr>
            <w:tcW w:w="117" w:type="pct"/>
            <w:tcBorders>
              <w:left w:val="single" w:sz="4" w:space="0" w:color="auto"/>
              <w:bottom w:val="single" w:sz="4" w:space="0" w:color="auto"/>
              <w:right w:val="single" w:sz="4" w:space="0" w:color="auto"/>
            </w:tcBorders>
            <w:vAlign w:val="center"/>
          </w:tcPr>
          <w:p w:rsidR="00271AE6" w:rsidRPr="00271AE6" w:rsidRDefault="00271AE6" w:rsidP="00271AE6">
            <w:pPr>
              <w:autoSpaceDE w:val="0"/>
              <w:autoSpaceDN w:val="0"/>
              <w:adjustRightInd w:val="0"/>
              <w:jc w:val="center"/>
              <w:rPr>
                <w:rFonts w:eastAsia="Calibri"/>
                <w:sz w:val="20"/>
                <w:szCs w:val="20"/>
              </w:rPr>
            </w:pPr>
          </w:p>
        </w:tc>
        <w:tc>
          <w:tcPr>
            <w:tcW w:w="145" w:type="pct"/>
            <w:tcBorders>
              <w:left w:val="single" w:sz="4" w:space="0" w:color="auto"/>
              <w:bottom w:val="single" w:sz="4" w:space="0" w:color="auto"/>
              <w:right w:val="single" w:sz="4" w:space="0" w:color="auto"/>
            </w:tcBorders>
            <w:vAlign w:val="center"/>
          </w:tcPr>
          <w:p w:rsidR="00271AE6" w:rsidRPr="00271AE6" w:rsidRDefault="00271AE6" w:rsidP="00271AE6">
            <w:pPr>
              <w:autoSpaceDE w:val="0"/>
              <w:autoSpaceDN w:val="0"/>
              <w:adjustRightInd w:val="0"/>
              <w:jc w:val="center"/>
              <w:rPr>
                <w:rFonts w:eastAsia="Calibri"/>
                <w:sz w:val="20"/>
                <w:szCs w:val="20"/>
              </w:rPr>
            </w:pPr>
          </w:p>
        </w:tc>
        <w:tc>
          <w:tcPr>
            <w:tcW w:w="189" w:type="pct"/>
            <w:tcBorders>
              <w:left w:val="single" w:sz="4" w:space="0" w:color="auto"/>
              <w:bottom w:val="single" w:sz="4" w:space="0" w:color="auto"/>
              <w:right w:val="single" w:sz="4" w:space="0" w:color="auto"/>
            </w:tcBorders>
            <w:vAlign w:val="center"/>
          </w:tcPr>
          <w:p w:rsidR="00271AE6" w:rsidRPr="00271AE6" w:rsidRDefault="00271AE6" w:rsidP="00271AE6">
            <w:pPr>
              <w:autoSpaceDE w:val="0"/>
              <w:autoSpaceDN w:val="0"/>
              <w:adjustRightInd w:val="0"/>
              <w:jc w:val="center"/>
              <w:rPr>
                <w:rFonts w:eastAsia="Calibri"/>
                <w:sz w:val="20"/>
                <w:szCs w:val="20"/>
                <w:highlight w:val="yellow"/>
              </w:rPr>
            </w:pPr>
            <w:r w:rsidRPr="00271AE6">
              <w:rPr>
                <w:rFonts w:eastAsia="Calibri"/>
                <w:sz w:val="20"/>
                <w:szCs w:val="20"/>
                <w:highlight w:val="yellow"/>
              </w:rPr>
              <w:t>39,891</w:t>
            </w:r>
          </w:p>
        </w:tc>
        <w:tc>
          <w:tcPr>
            <w:tcW w:w="179" w:type="pct"/>
            <w:tcBorders>
              <w:left w:val="single" w:sz="4" w:space="0" w:color="auto"/>
              <w:bottom w:val="single" w:sz="4" w:space="0" w:color="auto"/>
              <w:right w:val="single" w:sz="4" w:space="0" w:color="auto"/>
            </w:tcBorders>
            <w:vAlign w:val="center"/>
          </w:tcPr>
          <w:p w:rsidR="00271AE6" w:rsidRPr="00271AE6" w:rsidRDefault="00271AE6" w:rsidP="00271AE6">
            <w:pPr>
              <w:autoSpaceDE w:val="0"/>
              <w:autoSpaceDN w:val="0"/>
              <w:adjustRightInd w:val="0"/>
              <w:jc w:val="center"/>
              <w:rPr>
                <w:rFonts w:eastAsia="Calibri"/>
                <w:sz w:val="20"/>
                <w:szCs w:val="20"/>
                <w:highlight w:val="yellow"/>
              </w:rPr>
            </w:pPr>
            <w:r w:rsidRPr="00271AE6">
              <w:rPr>
                <w:rFonts w:eastAsia="Calibri"/>
                <w:sz w:val="20"/>
                <w:szCs w:val="20"/>
                <w:highlight w:val="yellow"/>
              </w:rPr>
              <w:t>39,891</w:t>
            </w:r>
          </w:p>
        </w:tc>
        <w:tc>
          <w:tcPr>
            <w:tcW w:w="122" w:type="pct"/>
            <w:tcBorders>
              <w:left w:val="single" w:sz="4" w:space="0" w:color="auto"/>
              <w:bottom w:val="single" w:sz="4" w:space="0" w:color="auto"/>
              <w:right w:val="single" w:sz="4" w:space="0" w:color="auto"/>
            </w:tcBorders>
            <w:vAlign w:val="center"/>
          </w:tcPr>
          <w:p w:rsidR="00271AE6" w:rsidRPr="00271AE6" w:rsidRDefault="00271AE6" w:rsidP="00271AE6">
            <w:pPr>
              <w:autoSpaceDE w:val="0"/>
              <w:autoSpaceDN w:val="0"/>
              <w:adjustRightInd w:val="0"/>
              <w:jc w:val="center"/>
              <w:rPr>
                <w:rFonts w:eastAsia="Calibri"/>
                <w:sz w:val="20"/>
                <w:szCs w:val="20"/>
                <w:highlight w:val="yellow"/>
              </w:rPr>
            </w:pPr>
          </w:p>
        </w:tc>
        <w:tc>
          <w:tcPr>
            <w:tcW w:w="155" w:type="pct"/>
            <w:tcBorders>
              <w:left w:val="single" w:sz="4" w:space="0" w:color="auto"/>
              <w:bottom w:val="single" w:sz="4" w:space="0" w:color="auto"/>
              <w:right w:val="single" w:sz="4" w:space="0" w:color="auto"/>
            </w:tcBorders>
            <w:vAlign w:val="center"/>
          </w:tcPr>
          <w:p w:rsidR="00271AE6" w:rsidRPr="00271AE6" w:rsidRDefault="00271AE6" w:rsidP="00271AE6">
            <w:pPr>
              <w:autoSpaceDE w:val="0"/>
              <w:autoSpaceDN w:val="0"/>
              <w:adjustRightInd w:val="0"/>
              <w:jc w:val="center"/>
              <w:rPr>
                <w:rFonts w:eastAsia="Calibri"/>
                <w:sz w:val="20"/>
                <w:szCs w:val="20"/>
                <w:highlight w:val="yellow"/>
              </w:rPr>
            </w:pPr>
          </w:p>
        </w:tc>
        <w:tc>
          <w:tcPr>
            <w:tcW w:w="195" w:type="pct"/>
            <w:tcBorders>
              <w:left w:val="single" w:sz="4" w:space="0" w:color="auto"/>
              <w:bottom w:val="single" w:sz="4" w:space="0" w:color="auto"/>
              <w:right w:val="single" w:sz="4" w:space="0" w:color="auto"/>
            </w:tcBorders>
            <w:vAlign w:val="center"/>
          </w:tcPr>
          <w:p w:rsidR="00271AE6" w:rsidRPr="00271AE6" w:rsidRDefault="00271AE6" w:rsidP="00271AE6">
            <w:pPr>
              <w:autoSpaceDE w:val="0"/>
              <w:autoSpaceDN w:val="0"/>
              <w:adjustRightInd w:val="0"/>
              <w:jc w:val="center"/>
              <w:rPr>
                <w:rFonts w:eastAsia="Calibri"/>
                <w:sz w:val="20"/>
                <w:szCs w:val="20"/>
                <w:highlight w:val="yellow"/>
              </w:rPr>
            </w:pPr>
            <w:r w:rsidRPr="00271AE6">
              <w:rPr>
                <w:rFonts w:eastAsia="Calibri"/>
                <w:sz w:val="20"/>
                <w:szCs w:val="20"/>
                <w:highlight w:val="yellow"/>
              </w:rPr>
              <w:t>39,891</w:t>
            </w:r>
          </w:p>
        </w:tc>
        <w:tc>
          <w:tcPr>
            <w:tcW w:w="160" w:type="pct"/>
            <w:tcBorders>
              <w:left w:val="single" w:sz="4" w:space="0" w:color="auto"/>
              <w:bottom w:val="single" w:sz="4" w:space="0" w:color="auto"/>
              <w:right w:val="single" w:sz="4" w:space="0" w:color="auto"/>
            </w:tcBorders>
            <w:vAlign w:val="center"/>
          </w:tcPr>
          <w:p w:rsidR="00271AE6" w:rsidRPr="00271AE6" w:rsidRDefault="00271AE6" w:rsidP="00271AE6">
            <w:pPr>
              <w:autoSpaceDE w:val="0"/>
              <w:autoSpaceDN w:val="0"/>
              <w:adjustRightInd w:val="0"/>
              <w:jc w:val="center"/>
              <w:rPr>
                <w:rFonts w:eastAsia="Calibri"/>
                <w:sz w:val="20"/>
                <w:szCs w:val="20"/>
                <w:highlight w:val="yellow"/>
              </w:rPr>
            </w:pPr>
            <w:r w:rsidRPr="00271AE6">
              <w:rPr>
                <w:rFonts w:eastAsia="Calibri"/>
                <w:sz w:val="20"/>
                <w:szCs w:val="20"/>
                <w:highlight w:val="yellow"/>
              </w:rPr>
              <w:t>39,891</w:t>
            </w: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highlight w:val="yellow"/>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highlight w:val="yellow"/>
              </w:rPr>
            </w:pPr>
          </w:p>
        </w:tc>
        <w:tc>
          <w:tcPr>
            <w:tcW w:w="153" w:type="pct"/>
            <w:tcBorders>
              <w:left w:val="single" w:sz="4" w:space="0" w:color="auto"/>
              <w:bottom w:val="single" w:sz="4" w:space="0" w:color="auto"/>
              <w:right w:val="single" w:sz="4" w:space="0" w:color="auto"/>
            </w:tcBorders>
            <w:vAlign w:val="center"/>
          </w:tcPr>
          <w:p w:rsidR="00271AE6" w:rsidRPr="00271AE6" w:rsidRDefault="00271AE6" w:rsidP="00271AE6">
            <w:pPr>
              <w:autoSpaceDE w:val="0"/>
              <w:autoSpaceDN w:val="0"/>
              <w:adjustRightInd w:val="0"/>
              <w:jc w:val="center"/>
              <w:rPr>
                <w:rFonts w:eastAsia="Calibri"/>
                <w:sz w:val="20"/>
                <w:szCs w:val="20"/>
                <w:highlight w:val="yellow"/>
              </w:rPr>
            </w:pPr>
            <w:r w:rsidRPr="00271AE6">
              <w:rPr>
                <w:rFonts w:eastAsia="Calibri"/>
                <w:sz w:val="20"/>
                <w:szCs w:val="20"/>
                <w:highlight w:val="yellow"/>
              </w:rPr>
              <w:t>39,891</w:t>
            </w:r>
          </w:p>
        </w:tc>
        <w:tc>
          <w:tcPr>
            <w:tcW w:w="157" w:type="pct"/>
            <w:tcBorders>
              <w:left w:val="single" w:sz="4" w:space="0" w:color="auto"/>
              <w:bottom w:val="single" w:sz="4" w:space="0" w:color="auto"/>
              <w:right w:val="single" w:sz="4" w:space="0" w:color="auto"/>
            </w:tcBorders>
            <w:vAlign w:val="center"/>
          </w:tcPr>
          <w:p w:rsidR="00271AE6" w:rsidRPr="00271AE6" w:rsidRDefault="00271AE6" w:rsidP="00271AE6">
            <w:pPr>
              <w:autoSpaceDE w:val="0"/>
              <w:autoSpaceDN w:val="0"/>
              <w:adjustRightInd w:val="0"/>
              <w:jc w:val="center"/>
              <w:rPr>
                <w:rFonts w:eastAsia="Calibri"/>
                <w:sz w:val="20"/>
                <w:szCs w:val="20"/>
                <w:highlight w:val="yellow"/>
              </w:rPr>
            </w:pPr>
            <w:r w:rsidRPr="00271AE6">
              <w:rPr>
                <w:rFonts w:eastAsia="Calibri"/>
                <w:sz w:val="20"/>
                <w:szCs w:val="20"/>
                <w:highlight w:val="yellow"/>
              </w:rPr>
              <w:t>39,891</w:t>
            </w: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highlight w:val="yellow"/>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highlight w:val="yellow"/>
              </w:rPr>
            </w:pPr>
          </w:p>
        </w:tc>
        <w:tc>
          <w:tcPr>
            <w:tcW w:w="153" w:type="pct"/>
            <w:tcBorders>
              <w:left w:val="single" w:sz="4" w:space="0" w:color="auto"/>
              <w:bottom w:val="single" w:sz="4" w:space="0" w:color="auto"/>
              <w:right w:val="single" w:sz="4" w:space="0" w:color="auto"/>
            </w:tcBorders>
            <w:vAlign w:val="center"/>
          </w:tcPr>
          <w:p w:rsidR="00271AE6" w:rsidRPr="00271AE6" w:rsidRDefault="00271AE6" w:rsidP="00271AE6">
            <w:pPr>
              <w:autoSpaceDE w:val="0"/>
              <w:autoSpaceDN w:val="0"/>
              <w:adjustRightInd w:val="0"/>
              <w:jc w:val="center"/>
              <w:rPr>
                <w:rFonts w:eastAsia="Calibri"/>
                <w:sz w:val="20"/>
                <w:szCs w:val="20"/>
                <w:highlight w:val="yellow"/>
              </w:rPr>
            </w:pPr>
            <w:r w:rsidRPr="00271AE6">
              <w:rPr>
                <w:rFonts w:eastAsia="Calibri"/>
                <w:sz w:val="20"/>
                <w:szCs w:val="20"/>
                <w:highlight w:val="yellow"/>
              </w:rPr>
              <w:t>39,891</w:t>
            </w:r>
          </w:p>
        </w:tc>
        <w:tc>
          <w:tcPr>
            <w:tcW w:w="157" w:type="pct"/>
            <w:tcBorders>
              <w:left w:val="single" w:sz="4" w:space="0" w:color="auto"/>
              <w:bottom w:val="single" w:sz="4" w:space="0" w:color="auto"/>
              <w:right w:val="single" w:sz="4" w:space="0" w:color="auto"/>
            </w:tcBorders>
            <w:vAlign w:val="center"/>
          </w:tcPr>
          <w:p w:rsidR="00271AE6" w:rsidRPr="00271AE6" w:rsidRDefault="00271AE6" w:rsidP="00271AE6">
            <w:pPr>
              <w:autoSpaceDE w:val="0"/>
              <w:autoSpaceDN w:val="0"/>
              <w:adjustRightInd w:val="0"/>
              <w:jc w:val="center"/>
              <w:rPr>
                <w:rFonts w:eastAsia="Calibri"/>
                <w:sz w:val="20"/>
                <w:szCs w:val="20"/>
                <w:highlight w:val="yellow"/>
              </w:rPr>
            </w:pPr>
            <w:r w:rsidRPr="00271AE6">
              <w:rPr>
                <w:rFonts w:eastAsia="Calibri"/>
                <w:sz w:val="20"/>
                <w:szCs w:val="20"/>
                <w:highlight w:val="yellow"/>
              </w:rPr>
              <w:t>39,891</w:t>
            </w: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highlight w:val="yellow"/>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highlight w:val="yellow"/>
              </w:rPr>
            </w:pPr>
          </w:p>
        </w:tc>
        <w:tc>
          <w:tcPr>
            <w:tcW w:w="153" w:type="pct"/>
            <w:tcBorders>
              <w:left w:val="single" w:sz="4" w:space="0" w:color="auto"/>
              <w:bottom w:val="single" w:sz="4" w:space="0" w:color="auto"/>
              <w:right w:val="single" w:sz="4" w:space="0" w:color="auto"/>
            </w:tcBorders>
            <w:vAlign w:val="center"/>
          </w:tcPr>
          <w:p w:rsidR="00271AE6" w:rsidRPr="00271AE6" w:rsidRDefault="00271AE6" w:rsidP="00271AE6">
            <w:pPr>
              <w:autoSpaceDE w:val="0"/>
              <w:autoSpaceDN w:val="0"/>
              <w:adjustRightInd w:val="0"/>
              <w:jc w:val="center"/>
              <w:rPr>
                <w:rFonts w:eastAsia="Calibri"/>
                <w:sz w:val="20"/>
                <w:szCs w:val="20"/>
                <w:highlight w:val="yellow"/>
              </w:rPr>
            </w:pPr>
            <w:r w:rsidRPr="00271AE6">
              <w:rPr>
                <w:rFonts w:eastAsia="Calibri"/>
                <w:sz w:val="20"/>
                <w:szCs w:val="20"/>
                <w:highlight w:val="yellow"/>
              </w:rPr>
              <w:t>39,891</w:t>
            </w:r>
          </w:p>
        </w:tc>
        <w:tc>
          <w:tcPr>
            <w:tcW w:w="148" w:type="pct"/>
            <w:tcBorders>
              <w:left w:val="single" w:sz="4" w:space="0" w:color="auto"/>
              <w:bottom w:val="single" w:sz="4" w:space="0" w:color="auto"/>
              <w:right w:val="single" w:sz="4" w:space="0" w:color="auto"/>
            </w:tcBorders>
            <w:vAlign w:val="center"/>
          </w:tcPr>
          <w:p w:rsidR="00271AE6" w:rsidRPr="00271AE6" w:rsidRDefault="00271AE6" w:rsidP="00271AE6">
            <w:pPr>
              <w:autoSpaceDE w:val="0"/>
              <w:autoSpaceDN w:val="0"/>
              <w:adjustRightInd w:val="0"/>
              <w:jc w:val="center"/>
              <w:rPr>
                <w:rFonts w:eastAsia="Calibri"/>
                <w:sz w:val="20"/>
                <w:szCs w:val="20"/>
                <w:highlight w:val="yellow"/>
              </w:rPr>
            </w:pPr>
            <w:r w:rsidRPr="00271AE6">
              <w:rPr>
                <w:rFonts w:eastAsia="Calibri"/>
                <w:sz w:val="20"/>
                <w:szCs w:val="20"/>
                <w:highlight w:val="yellow"/>
              </w:rPr>
              <w:t>39,891</w:t>
            </w: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highlight w:val="yellow"/>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highlight w:val="yellow"/>
              </w:rPr>
            </w:pPr>
          </w:p>
        </w:tc>
        <w:tc>
          <w:tcPr>
            <w:tcW w:w="159" w:type="pct"/>
            <w:tcBorders>
              <w:left w:val="single" w:sz="4" w:space="0" w:color="auto"/>
              <w:bottom w:val="single" w:sz="4" w:space="0" w:color="auto"/>
              <w:right w:val="single" w:sz="4" w:space="0" w:color="auto"/>
            </w:tcBorders>
            <w:vAlign w:val="center"/>
          </w:tcPr>
          <w:p w:rsidR="00271AE6" w:rsidRPr="00271AE6" w:rsidRDefault="00271AE6" w:rsidP="00271AE6">
            <w:pPr>
              <w:autoSpaceDE w:val="0"/>
              <w:autoSpaceDN w:val="0"/>
              <w:adjustRightInd w:val="0"/>
              <w:jc w:val="center"/>
              <w:rPr>
                <w:rFonts w:eastAsia="Calibri"/>
                <w:sz w:val="20"/>
                <w:szCs w:val="20"/>
                <w:highlight w:val="yellow"/>
              </w:rPr>
            </w:pPr>
            <w:r w:rsidRPr="00271AE6">
              <w:rPr>
                <w:rFonts w:eastAsia="Calibri"/>
                <w:sz w:val="20"/>
                <w:szCs w:val="20"/>
                <w:highlight w:val="yellow"/>
              </w:rPr>
              <w:t>39,891</w:t>
            </w:r>
          </w:p>
        </w:tc>
        <w:tc>
          <w:tcPr>
            <w:tcW w:w="196" w:type="pct"/>
            <w:tcBorders>
              <w:left w:val="single" w:sz="4" w:space="0" w:color="auto"/>
              <w:bottom w:val="single" w:sz="4" w:space="0" w:color="auto"/>
              <w:right w:val="single" w:sz="4" w:space="0" w:color="auto"/>
            </w:tcBorders>
            <w:vAlign w:val="center"/>
          </w:tcPr>
          <w:p w:rsidR="00271AE6" w:rsidRPr="00271AE6" w:rsidRDefault="00271AE6" w:rsidP="00271AE6">
            <w:pPr>
              <w:autoSpaceDE w:val="0"/>
              <w:autoSpaceDN w:val="0"/>
              <w:adjustRightInd w:val="0"/>
              <w:jc w:val="center"/>
              <w:rPr>
                <w:rFonts w:eastAsia="Calibri"/>
                <w:sz w:val="20"/>
                <w:szCs w:val="20"/>
                <w:highlight w:val="yellow"/>
              </w:rPr>
            </w:pPr>
            <w:r w:rsidRPr="00271AE6">
              <w:rPr>
                <w:rFonts w:eastAsia="Calibri"/>
                <w:sz w:val="20"/>
                <w:szCs w:val="20"/>
                <w:highlight w:val="yellow"/>
              </w:rPr>
              <w:t>39,891</w:t>
            </w:r>
          </w:p>
        </w:tc>
      </w:tr>
      <w:tr w:rsidR="00271AE6" w:rsidRPr="00271AE6" w:rsidTr="006846DF">
        <w:tblPrEx>
          <w:tblCellMar>
            <w:top w:w="0" w:type="dxa"/>
            <w:bottom w:w="0" w:type="dxa"/>
          </w:tblCellMar>
        </w:tblPrEx>
        <w:trPr>
          <w:tblCellSpacing w:w="5" w:type="nil"/>
        </w:trPr>
        <w:tc>
          <w:tcPr>
            <w:tcW w:w="21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  2.   </w:t>
            </w:r>
          </w:p>
        </w:tc>
        <w:tc>
          <w:tcPr>
            <w:tcW w:w="2271" w:type="pct"/>
            <w:gridSpan w:val="10"/>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vertAlign w:val="superscript"/>
              </w:rPr>
            </w:pPr>
            <w:r w:rsidRPr="00271AE6">
              <w:rPr>
                <w:rFonts w:eastAsia="Calibri"/>
                <w:sz w:val="20"/>
                <w:szCs w:val="20"/>
              </w:rPr>
              <w:t>Трехставочный тариф покупки</w:t>
            </w:r>
            <w:r w:rsidRPr="00271AE6">
              <w:rPr>
                <w:rFonts w:eastAsia="Calibri"/>
                <w:sz w:val="20"/>
                <w:szCs w:val="20"/>
                <w:vertAlign w:val="superscript"/>
              </w:rPr>
              <w:t>1</w:t>
            </w: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 2.1.  </w:t>
            </w:r>
          </w:p>
        </w:tc>
        <w:tc>
          <w:tcPr>
            <w:tcW w:w="661"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ставка стоимости единицы электрической мощности </w:t>
            </w: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руб./кВт·мес</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 2.2.  </w:t>
            </w:r>
          </w:p>
        </w:tc>
        <w:tc>
          <w:tcPr>
            <w:tcW w:w="661"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ставка стоимости единицы     </w:t>
            </w:r>
            <w:r w:rsidRPr="00271AE6">
              <w:rPr>
                <w:rFonts w:eastAsia="Calibri"/>
                <w:sz w:val="20"/>
                <w:szCs w:val="20"/>
              </w:rPr>
              <w:br/>
              <w:t xml:space="preserve">электрической энергии        </w:t>
            </w: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руб./кВт·ч     </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 2.3.  </w:t>
            </w:r>
          </w:p>
        </w:tc>
        <w:tc>
          <w:tcPr>
            <w:tcW w:w="661"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ставка стоимости             </w:t>
            </w:r>
            <w:r w:rsidRPr="00271AE6">
              <w:rPr>
                <w:rFonts w:eastAsia="Calibri"/>
                <w:sz w:val="20"/>
                <w:szCs w:val="20"/>
              </w:rPr>
              <w:br/>
              <w:t xml:space="preserve">электрической мощности </w:t>
            </w: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руб./кВт·мес</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jc w:val="center"/>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  3.   </w:t>
            </w:r>
          </w:p>
        </w:tc>
        <w:tc>
          <w:tcPr>
            <w:tcW w:w="2271" w:type="pct"/>
            <w:gridSpan w:val="10"/>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Одноставочный тариф покупки в целях поставки:                                                 </w:t>
            </w: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 3.1.  </w:t>
            </w:r>
          </w:p>
        </w:tc>
        <w:tc>
          <w:tcPr>
            <w:tcW w:w="661"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компенсации потерь           </w:t>
            </w: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руб./кВт·ч     </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 3.2.  </w:t>
            </w:r>
          </w:p>
        </w:tc>
        <w:tc>
          <w:tcPr>
            <w:tcW w:w="2271" w:type="pct"/>
            <w:gridSpan w:val="10"/>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для прочих потребителей, дифференцированных по подгруппам потребителей с учетом максимальной  </w:t>
            </w:r>
            <w:r w:rsidRPr="00271AE6">
              <w:rPr>
                <w:rFonts w:eastAsia="Calibri"/>
                <w:sz w:val="20"/>
                <w:szCs w:val="20"/>
              </w:rPr>
              <w:br/>
              <w:t xml:space="preserve">мощности энергопринимающих устройств:                                                         </w:t>
            </w: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3.2.1. </w:t>
            </w:r>
          </w:p>
        </w:tc>
        <w:tc>
          <w:tcPr>
            <w:tcW w:w="661"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менее 150 кВт                </w:t>
            </w: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руб./кВт ч     </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3.2.2. </w:t>
            </w:r>
          </w:p>
        </w:tc>
        <w:tc>
          <w:tcPr>
            <w:tcW w:w="661"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от 150 кВт до 670 кВт        </w:t>
            </w: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руб./кВт·ч     </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3.2.3. </w:t>
            </w:r>
          </w:p>
        </w:tc>
        <w:tc>
          <w:tcPr>
            <w:tcW w:w="661"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от 670 кВт до 10 МВт         </w:t>
            </w: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руб./кВт·ч     </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3.2.4. </w:t>
            </w:r>
          </w:p>
        </w:tc>
        <w:tc>
          <w:tcPr>
            <w:tcW w:w="661"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не менее 10 МВт              </w:t>
            </w: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руб./кВт·ч     </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  4.   </w:t>
            </w:r>
          </w:p>
        </w:tc>
        <w:tc>
          <w:tcPr>
            <w:tcW w:w="2271" w:type="pct"/>
            <w:gridSpan w:val="10"/>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Трехставочный тариф покупки в целях поставки</w:t>
            </w:r>
            <w:r w:rsidRPr="00271AE6">
              <w:rPr>
                <w:rFonts w:eastAsia="Calibri"/>
                <w:sz w:val="20"/>
                <w:szCs w:val="20"/>
                <w:vertAlign w:val="superscript"/>
              </w:rPr>
              <w:t>1</w:t>
            </w:r>
            <w:r w:rsidRPr="00271AE6">
              <w:rPr>
                <w:rFonts w:eastAsia="Calibri"/>
                <w:sz w:val="20"/>
                <w:szCs w:val="20"/>
              </w:rPr>
              <w:t xml:space="preserve">:              </w:t>
            </w: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vMerge w:val="restar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 4.1.  </w:t>
            </w:r>
          </w:p>
        </w:tc>
        <w:tc>
          <w:tcPr>
            <w:tcW w:w="661" w:type="pct"/>
            <w:vMerge w:val="restar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для компенсации потерь       </w:t>
            </w: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руб./кВт·ч     </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vMerge/>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661" w:type="pct"/>
            <w:vMerge/>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руб./кВт·мес</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vMerge/>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661" w:type="pct"/>
            <w:vMerge/>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руб./кВт·мес</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 4.2.  </w:t>
            </w:r>
          </w:p>
        </w:tc>
        <w:tc>
          <w:tcPr>
            <w:tcW w:w="2271" w:type="pct"/>
            <w:gridSpan w:val="10"/>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для прочих потребителей, дифференцированных по подгруппам потребителей с учетом максимальной  </w:t>
            </w:r>
            <w:r w:rsidRPr="00271AE6">
              <w:rPr>
                <w:rFonts w:eastAsia="Calibri"/>
                <w:sz w:val="20"/>
                <w:szCs w:val="20"/>
              </w:rPr>
              <w:br/>
              <w:t xml:space="preserve">мощности энергопринимающих устройств:                                                         </w:t>
            </w: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vMerge w:val="restar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4.2.1. </w:t>
            </w:r>
          </w:p>
        </w:tc>
        <w:tc>
          <w:tcPr>
            <w:tcW w:w="661" w:type="pct"/>
            <w:vMerge w:val="restar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br/>
              <w:t xml:space="preserve">менее 150 кВт                </w:t>
            </w: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руб./кВт·ч     </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vMerge/>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661" w:type="pct"/>
            <w:vMerge/>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руб./кВт·мес</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vMerge/>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661" w:type="pct"/>
            <w:vMerge/>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руб./кВт·мес</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vMerge w:val="restar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4.2.2. </w:t>
            </w:r>
          </w:p>
        </w:tc>
        <w:tc>
          <w:tcPr>
            <w:tcW w:w="661" w:type="pct"/>
            <w:vMerge w:val="restar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br/>
              <w:t xml:space="preserve">от 150 кВт до 670 кВт        </w:t>
            </w: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руб./кВт·ч     </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vMerge/>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661" w:type="pct"/>
            <w:vMerge/>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руб./кВт·мес</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vMerge/>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661" w:type="pct"/>
            <w:vMerge/>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руб./кВт·мес</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vMerge w:val="restar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4.2.3. </w:t>
            </w:r>
          </w:p>
        </w:tc>
        <w:tc>
          <w:tcPr>
            <w:tcW w:w="661" w:type="pct"/>
            <w:vMerge w:val="restar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br/>
              <w:t xml:space="preserve">от 670 кВт до 10 МВт         </w:t>
            </w: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руб./кВт·ч     </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vMerge/>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661" w:type="pct"/>
            <w:vMerge/>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руб./кВт·мес</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vMerge/>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661" w:type="pct"/>
            <w:vMerge/>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34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руб./кВт·мес</w:t>
            </w:r>
          </w:p>
        </w:tc>
        <w:tc>
          <w:tcPr>
            <w:tcW w:w="11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vMerge w:val="restar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4.2.4. </w:t>
            </w:r>
          </w:p>
        </w:tc>
        <w:tc>
          <w:tcPr>
            <w:tcW w:w="661" w:type="pct"/>
            <w:vMerge w:val="restar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br/>
              <w:t xml:space="preserve">не менее 10 МВт              </w:t>
            </w:r>
          </w:p>
        </w:tc>
        <w:tc>
          <w:tcPr>
            <w:tcW w:w="347"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 xml:space="preserve">руб./кВт·ч     </w:t>
            </w:r>
          </w:p>
        </w:tc>
        <w:tc>
          <w:tcPr>
            <w:tcW w:w="117"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vMerge/>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661" w:type="pct"/>
            <w:vMerge/>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347"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руб./кВт·мес</w:t>
            </w:r>
          </w:p>
        </w:tc>
        <w:tc>
          <w:tcPr>
            <w:tcW w:w="117"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r w:rsidR="00271AE6" w:rsidRPr="00271AE6" w:rsidTr="006846DF">
        <w:tblPrEx>
          <w:tblCellMar>
            <w:top w:w="0" w:type="dxa"/>
            <w:bottom w:w="0" w:type="dxa"/>
          </w:tblCellMar>
        </w:tblPrEx>
        <w:trPr>
          <w:tblCellSpacing w:w="5" w:type="nil"/>
        </w:trPr>
        <w:tc>
          <w:tcPr>
            <w:tcW w:w="213" w:type="pct"/>
            <w:vMerge/>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661" w:type="pct"/>
            <w:vMerge/>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347"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r w:rsidRPr="00271AE6">
              <w:rPr>
                <w:rFonts w:eastAsia="Calibri"/>
                <w:sz w:val="20"/>
                <w:szCs w:val="20"/>
              </w:rPr>
              <w:t>руб./кВт·мес</w:t>
            </w:r>
          </w:p>
        </w:tc>
        <w:tc>
          <w:tcPr>
            <w:tcW w:w="117"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5"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89"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79"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22"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5"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0"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5"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7"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3"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48"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62"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59"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c>
          <w:tcPr>
            <w:tcW w:w="196" w:type="pct"/>
            <w:tcBorders>
              <w:top w:val="single" w:sz="4" w:space="0" w:color="auto"/>
              <w:left w:val="single" w:sz="4" w:space="0" w:color="auto"/>
              <w:bottom w:val="single" w:sz="4" w:space="0" w:color="auto"/>
              <w:right w:val="single" w:sz="4" w:space="0" w:color="auto"/>
            </w:tcBorders>
          </w:tcPr>
          <w:p w:rsidR="00271AE6" w:rsidRPr="00271AE6" w:rsidRDefault="00271AE6" w:rsidP="00271AE6">
            <w:pPr>
              <w:autoSpaceDE w:val="0"/>
              <w:autoSpaceDN w:val="0"/>
              <w:adjustRightInd w:val="0"/>
              <w:rPr>
                <w:rFonts w:eastAsia="Calibri"/>
                <w:sz w:val="20"/>
                <w:szCs w:val="20"/>
              </w:rPr>
            </w:pPr>
          </w:p>
        </w:tc>
      </w:tr>
    </w:tbl>
    <w:p w:rsidR="00044129" w:rsidRPr="00385AC6" w:rsidRDefault="00044129" w:rsidP="00044129">
      <w:pPr>
        <w:ind w:firstLine="567"/>
        <w:jc w:val="both"/>
        <w:rPr>
          <w:sz w:val="20"/>
          <w:szCs w:val="22"/>
        </w:rPr>
      </w:pPr>
    </w:p>
    <w:p w:rsidR="00044129" w:rsidRPr="00385AC6" w:rsidRDefault="00044129" w:rsidP="00044129">
      <w:pPr>
        <w:ind w:firstLine="567"/>
        <w:jc w:val="both"/>
        <w:rPr>
          <w:sz w:val="20"/>
          <w:szCs w:val="22"/>
        </w:rPr>
      </w:pPr>
      <w:r w:rsidRPr="00385AC6">
        <w:rPr>
          <w:sz w:val="20"/>
          <w:szCs w:val="22"/>
        </w:rPr>
        <w:t>Примечание:</w:t>
      </w:r>
    </w:p>
    <w:p w:rsidR="00044129" w:rsidRPr="00385AC6" w:rsidRDefault="00044129" w:rsidP="00044129">
      <w:pPr>
        <w:ind w:firstLine="709"/>
        <w:jc w:val="both"/>
        <w:rPr>
          <w:sz w:val="20"/>
          <w:szCs w:val="22"/>
        </w:rPr>
      </w:pPr>
      <w:r w:rsidRPr="00385AC6">
        <w:rPr>
          <w:sz w:val="20"/>
          <w:szCs w:val="22"/>
        </w:rPr>
        <w:t>&lt;1&gt; Трехставочный тариф на территории Камчатского края в соответствии с пунктом 78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не устанавливается.</w:t>
      </w:r>
    </w:p>
    <w:p w:rsidR="00271AE6" w:rsidRDefault="00271AE6" w:rsidP="00155EB5">
      <w:pPr>
        <w:sectPr w:rsidR="00271AE6" w:rsidSect="00271AE6">
          <w:pgSz w:w="16838" w:h="11906" w:orient="landscape"/>
          <w:pgMar w:top="1134" w:right="1134" w:bottom="567" w:left="1134" w:header="709" w:footer="709" w:gutter="0"/>
          <w:cols w:space="708"/>
          <w:docGrid w:linePitch="360"/>
        </w:sectPr>
      </w:pPr>
    </w:p>
    <w:p w:rsidR="00411DF3" w:rsidRPr="000E6849" w:rsidRDefault="00411DF3" w:rsidP="00411DF3">
      <w:pPr>
        <w:rPr>
          <w:b/>
        </w:rPr>
      </w:pPr>
      <w:r>
        <w:rPr>
          <w:b/>
        </w:rPr>
        <w:t>СОГЛАСОВАНО</w:t>
      </w:r>
      <w:r w:rsidRPr="000E6849">
        <w:rPr>
          <w:b/>
        </w:rPr>
        <w:t>:</w:t>
      </w:r>
    </w:p>
    <w:p w:rsidR="00411DF3" w:rsidRDefault="00411DF3" w:rsidP="00411DF3"/>
    <w:p w:rsidR="00411DF3" w:rsidRDefault="00411DF3" w:rsidP="00411DF3">
      <w:r>
        <w:t>Заместитель руководителя -  н</w:t>
      </w:r>
      <w:r w:rsidRPr="000E6849">
        <w:t xml:space="preserve">ачальник отдела по </w:t>
      </w:r>
      <w:r w:rsidRPr="000E6849">
        <w:rPr>
          <w:bCs/>
        </w:rPr>
        <w:t>регулированию тарифов</w:t>
      </w:r>
      <w:r>
        <w:rPr>
          <w:bCs/>
        </w:rPr>
        <w:t xml:space="preserve"> в электроэнергетике </w:t>
      </w:r>
      <w:r w:rsidRPr="000E6849">
        <w:rPr>
          <w:bCs/>
        </w:rPr>
        <w:t>Региональной службы по тарифам и ценам Камчатского края</w:t>
      </w:r>
      <w:r>
        <w:rPr>
          <w:bCs/>
        </w:rPr>
        <w:t xml:space="preserve"> </w:t>
      </w:r>
      <w:r w:rsidRPr="000E6849">
        <w:t>______</w:t>
      </w:r>
      <w:r>
        <w:t>______</w:t>
      </w:r>
      <w:r w:rsidRPr="000E6849">
        <w:t>______/</w:t>
      </w:r>
      <w:r>
        <w:t>А.А. Питиримов</w:t>
      </w:r>
      <w:r w:rsidRPr="000E6849">
        <w:t xml:space="preserve">/  </w:t>
      </w:r>
    </w:p>
    <w:p w:rsidR="00411DF3" w:rsidRDefault="00411DF3" w:rsidP="00411DF3">
      <w:r w:rsidRPr="000E6849">
        <w:t xml:space="preserve">  </w:t>
      </w:r>
    </w:p>
    <w:p w:rsidR="00411DF3" w:rsidRPr="000E6849" w:rsidRDefault="00411DF3" w:rsidP="00411DF3">
      <w:pPr>
        <w:rPr>
          <w:b/>
        </w:rPr>
      </w:pPr>
    </w:p>
    <w:p w:rsidR="00271AE6" w:rsidRPr="00271AE6" w:rsidRDefault="00271AE6" w:rsidP="00271AE6">
      <w:pPr>
        <w:rPr>
          <w:bCs/>
        </w:rPr>
      </w:pPr>
      <w:r w:rsidRPr="00271AE6">
        <w:t xml:space="preserve">Заместитель начальника отдела по </w:t>
      </w:r>
      <w:r w:rsidRPr="00271AE6">
        <w:rPr>
          <w:bCs/>
        </w:rPr>
        <w:t>регулированию тарифов в электроэнергетике</w:t>
      </w:r>
    </w:p>
    <w:p w:rsidR="00411DF3" w:rsidRPr="000E6849" w:rsidRDefault="00411DF3" w:rsidP="00411DF3">
      <w:pPr>
        <w:ind w:right="-143"/>
      </w:pPr>
      <w:r w:rsidRPr="000E6849">
        <w:rPr>
          <w:bCs/>
        </w:rPr>
        <w:t>Региональной службы по тарифам и ценам Камчатского края</w:t>
      </w:r>
      <w:r>
        <w:rPr>
          <w:bCs/>
        </w:rPr>
        <w:t xml:space="preserve"> </w:t>
      </w:r>
      <w:r>
        <w:t>_________</w:t>
      </w:r>
      <w:r w:rsidRPr="000E6849">
        <w:t>_/</w:t>
      </w:r>
      <w:r>
        <w:t xml:space="preserve"> М.В. Лопатникова</w:t>
      </w:r>
      <w:r w:rsidRPr="000E6849">
        <w:t xml:space="preserve">/     </w:t>
      </w:r>
    </w:p>
    <w:p w:rsidR="00411DF3" w:rsidRDefault="00411DF3" w:rsidP="00411DF3"/>
    <w:p w:rsidR="00411DF3" w:rsidRPr="000E6849" w:rsidRDefault="00411DF3" w:rsidP="00411DF3"/>
    <w:p w:rsidR="00411DF3" w:rsidRPr="00526B18" w:rsidRDefault="00411DF3" w:rsidP="00411DF3">
      <w:r w:rsidRPr="00271AE6">
        <w:rPr>
          <w:highlight w:val="yellow"/>
        </w:rPr>
        <w:t>Консультант организационно-правового отдела Региональной службы по тарифам и ценам Камчатского края ______________/А.А. Хоич /</w:t>
      </w:r>
    </w:p>
    <w:p w:rsidR="00411DF3" w:rsidRPr="00C34B63" w:rsidRDefault="00411DF3" w:rsidP="00411DF3"/>
    <w:p w:rsidR="00411DF3" w:rsidRDefault="00411DF3" w:rsidP="00411DF3"/>
    <w:p w:rsidR="00411DF3" w:rsidRPr="006D0A04" w:rsidRDefault="00411DF3" w:rsidP="00155EB5"/>
    <w:sectPr w:rsidR="00411DF3" w:rsidRPr="006D0A04" w:rsidSect="00D5398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AE6" w:rsidRDefault="00271AE6" w:rsidP="004E22D3">
      <w:r>
        <w:separator/>
      </w:r>
    </w:p>
  </w:endnote>
  <w:endnote w:type="continuationSeparator" w:id="0">
    <w:p w:rsidR="00271AE6" w:rsidRDefault="00271AE6" w:rsidP="004E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AE6" w:rsidRDefault="00271AE6" w:rsidP="004E22D3">
      <w:r>
        <w:separator/>
      </w:r>
    </w:p>
  </w:footnote>
  <w:footnote w:type="continuationSeparator" w:id="0">
    <w:p w:rsidR="00271AE6" w:rsidRDefault="00271AE6" w:rsidP="004E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AA5FA0"/>
    <w:multiLevelType w:val="hybridMultilevel"/>
    <w:tmpl w:val="7F5AFE5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BFF7A13"/>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BD3E9F"/>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56C15AD"/>
    <w:multiLevelType w:val="hybridMultilevel"/>
    <w:tmpl w:val="D3E21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E7CE8"/>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013FC9"/>
    <w:multiLevelType w:val="hybridMultilevel"/>
    <w:tmpl w:val="B6D6C930"/>
    <w:lvl w:ilvl="0" w:tplc="526EC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1" w15:restartNumberingAfterBreak="0">
    <w:nsid w:val="392C1D44"/>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F7864A0"/>
    <w:multiLevelType w:val="hybridMultilevel"/>
    <w:tmpl w:val="59A6B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8B06C9"/>
    <w:multiLevelType w:val="hybridMultilevel"/>
    <w:tmpl w:val="EC30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7407BF"/>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C0C68D3"/>
    <w:multiLevelType w:val="hybridMultilevel"/>
    <w:tmpl w:val="CDD293D6"/>
    <w:lvl w:ilvl="0" w:tplc="0156AB34">
      <w:start w:val="1"/>
      <w:numFmt w:val="decimal"/>
      <w:lvlText w:val="%1."/>
      <w:lvlJc w:val="left"/>
      <w:pPr>
        <w:ind w:left="787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CC5167B"/>
    <w:multiLevelType w:val="hybridMultilevel"/>
    <w:tmpl w:val="06BA773A"/>
    <w:lvl w:ilvl="0" w:tplc="5C70C788">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2E173C"/>
    <w:multiLevelType w:val="hybridMultilevel"/>
    <w:tmpl w:val="93D03BD6"/>
    <w:lvl w:ilvl="0" w:tplc="0156AB3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3C7ED9"/>
    <w:multiLevelType w:val="hybridMultilevel"/>
    <w:tmpl w:val="5F3AB0BC"/>
    <w:lvl w:ilvl="0" w:tplc="7632EE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4"/>
  </w:num>
  <w:num w:numId="5">
    <w:abstractNumId w:val="23"/>
  </w:num>
  <w:num w:numId="6">
    <w:abstractNumId w:val="22"/>
  </w:num>
  <w:num w:numId="7">
    <w:abstractNumId w:val="8"/>
  </w:num>
  <w:num w:numId="8">
    <w:abstractNumId w:val="0"/>
  </w:num>
  <w:num w:numId="9">
    <w:abstractNumId w:val="10"/>
  </w:num>
  <w:num w:numId="10">
    <w:abstractNumId w:val="13"/>
  </w:num>
  <w:num w:numId="11">
    <w:abstractNumId w:val="7"/>
  </w:num>
  <w:num w:numId="12">
    <w:abstractNumId w:val="16"/>
  </w:num>
  <w:num w:numId="13">
    <w:abstractNumId w:val="14"/>
  </w:num>
  <w:num w:numId="14">
    <w:abstractNumId w:val="1"/>
  </w:num>
  <w:num w:numId="15">
    <w:abstractNumId w:val="21"/>
  </w:num>
  <w:num w:numId="16">
    <w:abstractNumId w:val="20"/>
  </w:num>
  <w:num w:numId="17">
    <w:abstractNumId w:val="18"/>
  </w:num>
  <w:num w:numId="18">
    <w:abstractNumId w:val="6"/>
  </w:num>
  <w:num w:numId="19">
    <w:abstractNumId w:val="17"/>
  </w:num>
  <w:num w:numId="20">
    <w:abstractNumId w:val="3"/>
  </w:num>
  <w:num w:numId="21">
    <w:abstractNumId w:val="24"/>
  </w:num>
  <w:num w:numId="22">
    <w:abstractNumId w:val="2"/>
  </w:num>
  <w:num w:numId="23">
    <w:abstractNumId w:val="11"/>
  </w:num>
  <w:num w:numId="24">
    <w:abstractNumId w:val="19"/>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66"/>
    <w:rsid w:val="00001985"/>
    <w:rsid w:val="00003675"/>
    <w:rsid w:val="000048D1"/>
    <w:rsid w:val="00010141"/>
    <w:rsid w:val="000108D2"/>
    <w:rsid w:val="0001292C"/>
    <w:rsid w:val="00015347"/>
    <w:rsid w:val="00024F80"/>
    <w:rsid w:val="0003153F"/>
    <w:rsid w:val="00031864"/>
    <w:rsid w:val="00032137"/>
    <w:rsid w:val="000321AD"/>
    <w:rsid w:val="0003470B"/>
    <w:rsid w:val="0003795A"/>
    <w:rsid w:val="00043871"/>
    <w:rsid w:val="00044129"/>
    <w:rsid w:val="0004441C"/>
    <w:rsid w:val="00047B74"/>
    <w:rsid w:val="00054280"/>
    <w:rsid w:val="0007072A"/>
    <w:rsid w:val="000755E2"/>
    <w:rsid w:val="000772C3"/>
    <w:rsid w:val="00077576"/>
    <w:rsid w:val="00083411"/>
    <w:rsid w:val="00084AA1"/>
    <w:rsid w:val="00084E87"/>
    <w:rsid w:val="00090825"/>
    <w:rsid w:val="000957C3"/>
    <w:rsid w:val="000A62C8"/>
    <w:rsid w:val="000B36FB"/>
    <w:rsid w:val="000C0AF5"/>
    <w:rsid w:val="000C4494"/>
    <w:rsid w:val="000C7B92"/>
    <w:rsid w:val="000D0BBF"/>
    <w:rsid w:val="000D2088"/>
    <w:rsid w:val="000D3974"/>
    <w:rsid w:val="000D4863"/>
    <w:rsid w:val="000D4EDD"/>
    <w:rsid w:val="000D632F"/>
    <w:rsid w:val="000D6B12"/>
    <w:rsid w:val="000D7A94"/>
    <w:rsid w:val="000E0C2C"/>
    <w:rsid w:val="000E0E6E"/>
    <w:rsid w:val="000E1E14"/>
    <w:rsid w:val="000F40F8"/>
    <w:rsid w:val="000F41AF"/>
    <w:rsid w:val="000F5A9E"/>
    <w:rsid w:val="000F7856"/>
    <w:rsid w:val="001034DB"/>
    <w:rsid w:val="00107E15"/>
    <w:rsid w:val="00113060"/>
    <w:rsid w:val="0011399A"/>
    <w:rsid w:val="0011775B"/>
    <w:rsid w:val="00117C9F"/>
    <w:rsid w:val="001208CE"/>
    <w:rsid w:val="001234D8"/>
    <w:rsid w:val="001246B6"/>
    <w:rsid w:val="001252AE"/>
    <w:rsid w:val="0014500C"/>
    <w:rsid w:val="001452CD"/>
    <w:rsid w:val="001474DF"/>
    <w:rsid w:val="00147FB0"/>
    <w:rsid w:val="00151A2F"/>
    <w:rsid w:val="00151FCB"/>
    <w:rsid w:val="00153D51"/>
    <w:rsid w:val="00155EB5"/>
    <w:rsid w:val="001565E4"/>
    <w:rsid w:val="0016175F"/>
    <w:rsid w:val="00166677"/>
    <w:rsid w:val="001734DE"/>
    <w:rsid w:val="00173CB1"/>
    <w:rsid w:val="00173F49"/>
    <w:rsid w:val="00175982"/>
    <w:rsid w:val="00182CE8"/>
    <w:rsid w:val="00184310"/>
    <w:rsid w:val="00185A0E"/>
    <w:rsid w:val="001862D2"/>
    <w:rsid w:val="00190F06"/>
    <w:rsid w:val="00194103"/>
    <w:rsid w:val="001977F6"/>
    <w:rsid w:val="001A0FFE"/>
    <w:rsid w:val="001A24D3"/>
    <w:rsid w:val="001A2C40"/>
    <w:rsid w:val="001A2E94"/>
    <w:rsid w:val="001B0A5C"/>
    <w:rsid w:val="001B0E38"/>
    <w:rsid w:val="001B1222"/>
    <w:rsid w:val="001B2A1C"/>
    <w:rsid w:val="001B71E1"/>
    <w:rsid w:val="001B7B08"/>
    <w:rsid w:val="001B7D52"/>
    <w:rsid w:val="001C31CE"/>
    <w:rsid w:val="001C50AA"/>
    <w:rsid w:val="001C52B5"/>
    <w:rsid w:val="001C5F84"/>
    <w:rsid w:val="001D0BEE"/>
    <w:rsid w:val="001D2E05"/>
    <w:rsid w:val="001E05AD"/>
    <w:rsid w:val="001E4195"/>
    <w:rsid w:val="001E7491"/>
    <w:rsid w:val="001E7F6B"/>
    <w:rsid w:val="001F03B2"/>
    <w:rsid w:val="001F0DA1"/>
    <w:rsid w:val="001F4BC7"/>
    <w:rsid w:val="001F4DF7"/>
    <w:rsid w:val="002003C4"/>
    <w:rsid w:val="0020194F"/>
    <w:rsid w:val="00203313"/>
    <w:rsid w:val="00205A32"/>
    <w:rsid w:val="002130EC"/>
    <w:rsid w:val="00214C6C"/>
    <w:rsid w:val="002204F0"/>
    <w:rsid w:val="00220B88"/>
    <w:rsid w:val="0022267D"/>
    <w:rsid w:val="002230C2"/>
    <w:rsid w:val="00223E12"/>
    <w:rsid w:val="00223E73"/>
    <w:rsid w:val="00241D00"/>
    <w:rsid w:val="00242B5C"/>
    <w:rsid w:val="002462FC"/>
    <w:rsid w:val="00246F6F"/>
    <w:rsid w:val="0025013F"/>
    <w:rsid w:val="00250A19"/>
    <w:rsid w:val="002510A0"/>
    <w:rsid w:val="0025500E"/>
    <w:rsid w:val="00257B92"/>
    <w:rsid w:val="0026332D"/>
    <w:rsid w:val="00263887"/>
    <w:rsid w:val="002657B5"/>
    <w:rsid w:val="00266757"/>
    <w:rsid w:val="00266818"/>
    <w:rsid w:val="002678FD"/>
    <w:rsid w:val="00271AE6"/>
    <w:rsid w:val="002731AA"/>
    <w:rsid w:val="00276096"/>
    <w:rsid w:val="00276564"/>
    <w:rsid w:val="00277D0E"/>
    <w:rsid w:val="00280BC6"/>
    <w:rsid w:val="002810BB"/>
    <w:rsid w:val="00281A9D"/>
    <w:rsid w:val="002826E8"/>
    <w:rsid w:val="002834EA"/>
    <w:rsid w:val="00283BEC"/>
    <w:rsid w:val="00283D62"/>
    <w:rsid w:val="00284DC1"/>
    <w:rsid w:val="0029008E"/>
    <w:rsid w:val="00291445"/>
    <w:rsid w:val="00293775"/>
    <w:rsid w:val="00296752"/>
    <w:rsid w:val="002A256A"/>
    <w:rsid w:val="002A650C"/>
    <w:rsid w:val="002A6887"/>
    <w:rsid w:val="002B338C"/>
    <w:rsid w:val="002B37EC"/>
    <w:rsid w:val="002B3B12"/>
    <w:rsid w:val="002B59FE"/>
    <w:rsid w:val="002C12A0"/>
    <w:rsid w:val="002C16AE"/>
    <w:rsid w:val="002C2A2A"/>
    <w:rsid w:val="002C36D9"/>
    <w:rsid w:val="002C684E"/>
    <w:rsid w:val="002D045F"/>
    <w:rsid w:val="002E04A0"/>
    <w:rsid w:val="002E0859"/>
    <w:rsid w:val="002E0BAB"/>
    <w:rsid w:val="002E1AA4"/>
    <w:rsid w:val="002F3DCB"/>
    <w:rsid w:val="002F5EF6"/>
    <w:rsid w:val="00302B38"/>
    <w:rsid w:val="00312D2E"/>
    <w:rsid w:val="00313439"/>
    <w:rsid w:val="00313757"/>
    <w:rsid w:val="00315C3A"/>
    <w:rsid w:val="00315D2D"/>
    <w:rsid w:val="0031656B"/>
    <w:rsid w:val="0032238C"/>
    <w:rsid w:val="003241C0"/>
    <w:rsid w:val="00326243"/>
    <w:rsid w:val="003278E6"/>
    <w:rsid w:val="003335F6"/>
    <w:rsid w:val="00333A60"/>
    <w:rsid w:val="003350D7"/>
    <w:rsid w:val="00335FE8"/>
    <w:rsid w:val="00346AC9"/>
    <w:rsid w:val="003577D1"/>
    <w:rsid w:val="00360E6A"/>
    <w:rsid w:val="00361003"/>
    <w:rsid w:val="003614F2"/>
    <w:rsid w:val="00363181"/>
    <w:rsid w:val="00372EE5"/>
    <w:rsid w:val="00373512"/>
    <w:rsid w:val="00374ED6"/>
    <w:rsid w:val="00375D72"/>
    <w:rsid w:val="0037738F"/>
    <w:rsid w:val="003839DF"/>
    <w:rsid w:val="003839FE"/>
    <w:rsid w:val="00383C20"/>
    <w:rsid w:val="00385AC6"/>
    <w:rsid w:val="00386E5E"/>
    <w:rsid w:val="00387287"/>
    <w:rsid w:val="00392881"/>
    <w:rsid w:val="00393828"/>
    <w:rsid w:val="0039601A"/>
    <w:rsid w:val="0039696F"/>
    <w:rsid w:val="00396A96"/>
    <w:rsid w:val="003A05D3"/>
    <w:rsid w:val="003A5A03"/>
    <w:rsid w:val="003B1CC4"/>
    <w:rsid w:val="003B2CA3"/>
    <w:rsid w:val="003B72F3"/>
    <w:rsid w:val="003C7505"/>
    <w:rsid w:val="003D15D1"/>
    <w:rsid w:val="003D2812"/>
    <w:rsid w:val="003D2D68"/>
    <w:rsid w:val="003D3358"/>
    <w:rsid w:val="003D6622"/>
    <w:rsid w:val="003E061D"/>
    <w:rsid w:val="003E4066"/>
    <w:rsid w:val="003E4F71"/>
    <w:rsid w:val="003E6AD4"/>
    <w:rsid w:val="003F18B8"/>
    <w:rsid w:val="003F401B"/>
    <w:rsid w:val="003F7502"/>
    <w:rsid w:val="004054E8"/>
    <w:rsid w:val="00411DF3"/>
    <w:rsid w:val="0041384A"/>
    <w:rsid w:val="004148F1"/>
    <w:rsid w:val="00415B51"/>
    <w:rsid w:val="0041792C"/>
    <w:rsid w:val="00434B47"/>
    <w:rsid w:val="00437AD9"/>
    <w:rsid w:val="0044059F"/>
    <w:rsid w:val="00444405"/>
    <w:rsid w:val="00444C5A"/>
    <w:rsid w:val="00446DAB"/>
    <w:rsid w:val="00447A96"/>
    <w:rsid w:val="00461A10"/>
    <w:rsid w:val="00464369"/>
    <w:rsid w:val="0047108F"/>
    <w:rsid w:val="00480237"/>
    <w:rsid w:val="004807C9"/>
    <w:rsid w:val="00484BA3"/>
    <w:rsid w:val="00484EC7"/>
    <w:rsid w:val="0049017B"/>
    <w:rsid w:val="0049308F"/>
    <w:rsid w:val="00493614"/>
    <w:rsid w:val="004A4A25"/>
    <w:rsid w:val="004A4AB5"/>
    <w:rsid w:val="004A4CA0"/>
    <w:rsid w:val="004A60AE"/>
    <w:rsid w:val="004B58B0"/>
    <w:rsid w:val="004C5912"/>
    <w:rsid w:val="004D0452"/>
    <w:rsid w:val="004D04C4"/>
    <w:rsid w:val="004D2127"/>
    <w:rsid w:val="004D36CD"/>
    <w:rsid w:val="004E22D3"/>
    <w:rsid w:val="004E23FA"/>
    <w:rsid w:val="004E2DCB"/>
    <w:rsid w:val="004E38CE"/>
    <w:rsid w:val="004F0BC7"/>
    <w:rsid w:val="004F0D9B"/>
    <w:rsid w:val="004F52CC"/>
    <w:rsid w:val="004F5ABD"/>
    <w:rsid w:val="004F75E3"/>
    <w:rsid w:val="004F780F"/>
    <w:rsid w:val="00500613"/>
    <w:rsid w:val="00502FA0"/>
    <w:rsid w:val="00503370"/>
    <w:rsid w:val="00504CC8"/>
    <w:rsid w:val="0050528C"/>
    <w:rsid w:val="005058D8"/>
    <w:rsid w:val="00506AAD"/>
    <w:rsid w:val="00511472"/>
    <w:rsid w:val="00525C4A"/>
    <w:rsid w:val="00526698"/>
    <w:rsid w:val="00526A76"/>
    <w:rsid w:val="0053330D"/>
    <w:rsid w:val="00533FBE"/>
    <w:rsid w:val="00534D11"/>
    <w:rsid w:val="00535BA7"/>
    <w:rsid w:val="00542F39"/>
    <w:rsid w:val="005506B1"/>
    <w:rsid w:val="00551A7C"/>
    <w:rsid w:val="00553024"/>
    <w:rsid w:val="00553333"/>
    <w:rsid w:val="00553626"/>
    <w:rsid w:val="00554D4F"/>
    <w:rsid w:val="00556A9D"/>
    <w:rsid w:val="0055754C"/>
    <w:rsid w:val="00562618"/>
    <w:rsid w:val="00563EB3"/>
    <w:rsid w:val="00567F96"/>
    <w:rsid w:val="0057310D"/>
    <w:rsid w:val="0057528D"/>
    <w:rsid w:val="0057560D"/>
    <w:rsid w:val="00580C1E"/>
    <w:rsid w:val="00592444"/>
    <w:rsid w:val="00595479"/>
    <w:rsid w:val="00595E34"/>
    <w:rsid w:val="005A031F"/>
    <w:rsid w:val="005A0796"/>
    <w:rsid w:val="005A1805"/>
    <w:rsid w:val="005A2EAE"/>
    <w:rsid w:val="005A31C6"/>
    <w:rsid w:val="005A58AD"/>
    <w:rsid w:val="005A7842"/>
    <w:rsid w:val="005B12FF"/>
    <w:rsid w:val="005B7A08"/>
    <w:rsid w:val="005C1AFD"/>
    <w:rsid w:val="005C549A"/>
    <w:rsid w:val="005D6B0F"/>
    <w:rsid w:val="005E6E1B"/>
    <w:rsid w:val="005E75E9"/>
    <w:rsid w:val="005F44F8"/>
    <w:rsid w:val="006005B0"/>
    <w:rsid w:val="00605889"/>
    <w:rsid w:val="00606C72"/>
    <w:rsid w:val="0061398B"/>
    <w:rsid w:val="00617B39"/>
    <w:rsid w:val="00623135"/>
    <w:rsid w:val="006235DC"/>
    <w:rsid w:val="00624529"/>
    <w:rsid w:val="00625AE3"/>
    <w:rsid w:val="006278A2"/>
    <w:rsid w:val="00627F26"/>
    <w:rsid w:val="00630DD4"/>
    <w:rsid w:val="0063412F"/>
    <w:rsid w:val="00636CC1"/>
    <w:rsid w:val="00640573"/>
    <w:rsid w:val="00643CED"/>
    <w:rsid w:val="00647223"/>
    <w:rsid w:val="0065140D"/>
    <w:rsid w:val="0065181C"/>
    <w:rsid w:val="00656F2C"/>
    <w:rsid w:val="00661F85"/>
    <w:rsid w:val="00661F9D"/>
    <w:rsid w:val="00663B6B"/>
    <w:rsid w:val="00664B4C"/>
    <w:rsid w:val="006700E4"/>
    <w:rsid w:val="006702CC"/>
    <w:rsid w:val="00676AA7"/>
    <w:rsid w:val="00677E27"/>
    <w:rsid w:val="00682CFE"/>
    <w:rsid w:val="006834E6"/>
    <w:rsid w:val="006844D9"/>
    <w:rsid w:val="006846DF"/>
    <w:rsid w:val="0068688E"/>
    <w:rsid w:val="00694619"/>
    <w:rsid w:val="00695522"/>
    <w:rsid w:val="006A278F"/>
    <w:rsid w:val="006A41D0"/>
    <w:rsid w:val="006A4490"/>
    <w:rsid w:val="006A6562"/>
    <w:rsid w:val="006B00B6"/>
    <w:rsid w:val="006B2F6F"/>
    <w:rsid w:val="006B4FF6"/>
    <w:rsid w:val="006B51AC"/>
    <w:rsid w:val="006B7947"/>
    <w:rsid w:val="006C312E"/>
    <w:rsid w:val="006C498A"/>
    <w:rsid w:val="006C72DF"/>
    <w:rsid w:val="006C7EBF"/>
    <w:rsid w:val="006D0A04"/>
    <w:rsid w:val="006D11BC"/>
    <w:rsid w:val="006D3970"/>
    <w:rsid w:val="006D57CC"/>
    <w:rsid w:val="006D5842"/>
    <w:rsid w:val="006E1D55"/>
    <w:rsid w:val="006E316D"/>
    <w:rsid w:val="006F05E2"/>
    <w:rsid w:val="006F2297"/>
    <w:rsid w:val="006F6469"/>
    <w:rsid w:val="00701F54"/>
    <w:rsid w:val="00703BE0"/>
    <w:rsid w:val="0070479D"/>
    <w:rsid w:val="00705D28"/>
    <w:rsid w:val="007066D7"/>
    <w:rsid w:val="00706A0C"/>
    <w:rsid w:val="00710437"/>
    <w:rsid w:val="00711830"/>
    <w:rsid w:val="007124E4"/>
    <w:rsid w:val="00712940"/>
    <w:rsid w:val="007211AF"/>
    <w:rsid w:val="0073119E"/>
    <w:rsid w:val="007428FF"/>
    <w:rsid w:val="00745CFA"/>
    <w:rsid w:val="00750226"/>
    <w:rsid w:val="007568AA"/>
    <w:rsid w:val="007630BD"/>
    <w:rsid w:val="007666CB"/>
    <w:rsid w:val="0077304F"/>
    <w:rsid w:val="00773AD8"/>
    <w:rsid w:val="00773CDB"/>
    <w:rsid w:val="00774934"/>
    <w:rsid w:val="00776B7D"/>
    <w:rsid w:val="00780BDB"/>
    <w:rsid w:val="00780BF8"/>
    <w:rsid w:val="00781044"/>
    <w:rsid w:val="00782178"/>
    <w:rsid w:val="00786D25"/>
    <w:rsid w:val="00790229"/>
    <w:rsid w:val="00791D19"/>
    <w:rsid w:val="00796A34"/>
    <w:rsid w:val="00797A84"/>
    <w:rsid w:val="007A7F6E"/>
    <w:rsid w:val="007C41E4"/>
    <w:rsid w:val="007C6024"/>
    <w:rsid w:val="007D217F"/>
    <w:rsid w:val="007D4DF7"/>
    <w:rsid w:val="007D4E21"/>
    <w:rsid w:val="007D7B1E"/>
    <w:rsid w:val="007F388E"/>
    <w:rsid w:val="007F5CD4"/>
    <w:rsid w:val="007F6CCE"/>
    <w:rsid w:val="008033F2"/>
    <w:rsid w:val="00803784"/>
    <w:rsid w:val="00803FB1"/>
    <w:rsid w:val="0080608C"/>
    <w:rsid w:val="0080609E"/>
    <w:rsid w:val="00807139"/>
    <w:rsid w:val="00813B12"/>
    <w:rsid w:val="00816BAE"/>
    <w:rsid w:val="00820D58"/>
    <w:rsid w:val="00822852"/>
    <w:rsid w:val="00822934"/>
    <w:rsid w:val="00826B3D"/>
    <w:rsid w:val="00827AD2"/>
    <w:rsid w:val="00830D96"/>
    <w:rsid w:val="00837EC9"/>
    <w:rsid w:val="00842FAD"/>
    <w:rsid w:val="0084369F"/>
    <w:rsid w:val="00846B0C"/>
    <w:rsid w:val="00851F6C"/>
    <w:rsid w:val="0085269A"/>
    <w:rsid w:val="0085381E"/>
    <w:rsid w:val="00853EA3"/>
    <w:rsid w:val="00861D41"/>
    <w:rsid w:val="00864DF1"/>
    <w:rsid w:val="00866EA0"/>
    <w:rsid w:val="00871AE7"/>
    <w:rsid w:val="008736F2"/>
    <w:rsid w:val="00874E51"/>
    <w:rsid w:val="00875D1E"/>
    <w:rsid w:val="008817E7"/>
    <w:rsid w:val="008900EF"/>
    <w:rsid w:val="00890E74"/>
    <w:rsid w:val="008942FD"/>
    <w:rsid w:val="00895F4B"/>
    <w:rsid w:val="00896960"/>
    <w:rsid w:val="008B3117"/>
    <w:rsid w:val="008B34F2"/>
    <w:rsid w:val="008B442A"/>
    <w:rsid w:val="008C1696"/>
    <w:rsid w:val="008C5921"/>
    <w:rsid w:val="008C6FD4"/>
    <w:rsid w:val="008C73DD"/>
    <w:rsid w:val="008C73F0"/>
    <w:rsid w:val="008C7D1D"/>
    <w:rsid w:val="008D239A"/>
    <w:rsid w:val="008D3D53"/>
    <w:rsid w:val="008D5C90"/>
    <w:rsid w:val="008E0114"/>
    <w:rsid w:val="008F14E9"/>
    <w:rsid w:val="008F2701"/>
    <w:rsid w:val="008F31FA"/>
    <w:rsid w:val="009013D4"/>
    <w:rsid w:val="00902D76"/>
    <w:rsid w:val="00902FE1"/>
    <w:rsid w:val="009031AC"/>
    <w:rsid w:val="00903812"/>
    <w:rsid w:val="00914EA8"/>
    <w:rsid w:val="0091590E"/>
    <w:rsid w:val="00916124"/>
    <w:rsid w:val="00921DC4"/>
    <w:rsid w:val="009228C2"/>
    <w:rsid w:val="00925BFE"/>
    <w:rsid w:val="00925C03"/>
    <w:rsid w:val="009269CE"/>
    <w:rsid w:val="00930157"/>
    <w:rsid w:val="009375C2"/>
    <w:rsid w:val="009446E3"/>
    <w:rsid w:val="009506F7"/>
    <w:rsid w:val="00951BFC"/>
    <w:rsid w:val="00955C37"/>
    <w:rsid w:val="00956B07"/>
    <w:rsid w:val="00960257"/>
    <w:rsid w:val="00961411"/>
    <w:rsid w:val="009620C5"/>
    <w:rsid w:val="00964E3D"/>
    <w:rsid w:val="00967E19"/>
    <w:rsid w:val="00972ED9"/>
    <w:rsid w:val="009737C8"/>
    <w:rsid w:val="00974D8C"/>
    <w:rsid w:val="0097600B"/>
    <w:rsid w:val="00980B26"/>
    <w:rsid w:val="0098167E"/>
    <w:rsid w:val="00983FF7"/>
    <w:rsid w:val="00985A15"/>
    <w:rsid w:val="00986F9B"/>
    <w:rsid w:val="00987325"/>
    <w:rsid w:val="00990DC2"/>
    <w:rsid w:val="009918AA"/>
    <w:rsid w:val="00991BF5"/>
    <w:rsid w:val="00995512"/>
    <w:rsid w:val="0099688D"/>
    <w:rsid w:val="009A0B07"/>
    <w:rsid w:val="009A5547"/>
    <w:rsid w:val="009A561B"/>
    <w:rsid w:val="009A70EE"/>
    <w:rsid w:val="009A7BCE"/>
    <w:rsid w:val="009B3029"/>
    <w:rsid w:val="009B7E50"/>
    <w:rsid w:val="009C3CCC"/>
    <w:rsid w:val="009C41CC"/>
    <w:rsid w:val="009C482B"/>
    <w:rsid w:val="009C4F6C"/>
    <w:rsid w:val="009C52C4"/>
    <w:rsid w:val="009C6F06"/>
    <w:rsid w:val="009D2249"/>
    <w:rsid w:val="009D2692"/>
    <w:rsid w:val="009D3482"/>
    <w:rsid w:val="009D3B85"/>
    <w:rsid w:val="009E3DF3"/>
    <w:rsid w:val="009F1848"/>
    <w:rsid w:val="009F1BCF"/>
    <w:rsid w:val="009F22D2"/>
    <w:rsid w:val="009F37ED"/>
    <w:rsid w:val="009F3F2B"/>
    <w:rsid w:val="009F654C"/>
    <w:rsid w:val="009F6D91"/>
    <w:rsid w:val="009F738C"/>
    <w:rsid w:val="00A00AD2"/>
    <w:rsid w:val="00A010F3"/>
    <w:rsid w:val="00A01C9E"/>
    <w:rsid w:val="00A05DB8"/>
    <w:rsid w:val="00A1344A"/>
    <w:rsid w:val="00A137F0"/>
    <w:rsid w:val="00A162E1"/>
    <w:rsid w:val="00A24C0C"/>
    <w:rsid w:val="00A24FD7"/>
    <w:rsid w:val="00A25872"/>
    <w:rsid w:val="00A27D3D"/>
    <w:rsid w:val="00A31B8D"/>
    <w:rsid w:val="00A3340D"/>
    <w:rsid w:val="00A4123A"/>
    <w:rsid w:val="00A43A7A"/>
    <w:rsid w:val="00A4413A"/>
    <w:rsid w:val="00A4585B"/>
    <w:rsid w:val="00A50B4C"/>
    <w:rsid w:val="00A51683"/>
    <w:rsid w:val="00A53257"/>
    <w:rsid w:val="00A5556B"/>
    <w:rsid w:val="00A57D9D"/>
    <w:rsid w:val="00A61F81"/>
    <w:rsid w:val="00A63E37"/>
    <w:rsid w:val="00A65ACF"/>
    <w:rsid w:val="00A66296"/>
    <w:rsid w:val="00A66D44"/>
    <w:rsid w:val="00A74DE2"/>
    <w:rsid w:val="00A760D3"/>
    <w:rsid w:val="00A8351E"/>
    <w:rsid w:val="00A83C78"/>
    <w:rsid w:val="00A84BE2"/>
    <w:rsid w:val="00A8533A"/>
    <w:rsid w:val="00A8547A"/>
    <w:rsid w:val="00A86AE7"/>
    <w:rsid w:val="00A873C3"/>
    <w:rsid w:val="00A92AAD"/>
    <w:rsid w:val="00A92B0C"/>
    <w:rsid w:val="00A953E3"/>
    <w:rsid w:val="00AA0AB0"/>
    <w:rsid w:val="00AA0D51"/>
    <w:rsid w:val="00AB3EB0"/>
    <w:rsid w:val="00AB4877"/>
    <w:rsid w:val="00AB51EC"/>
    <w:rsid w:val="00AC0106"/>
    <w:rsid w:val="00AC5303"/>
    <w:rsid w:val="00AC5483"/>
    <w:rsid w:val="00AC612E"/>
    <w:rsid w:val="00AD7258"/>
    <w:rsid w:val="00AD7B83"/>
    <w:rsid w:val="00AE4772"/>
    <w:rsid w:val="00AE7C90"/>
    <w:rsid w:val="00AF5583"/>
    <w:rsid w:val="00B078CA"/>
    <w:rsid w:val="00B143F7"/>
    <w:rsid w:val="00B169EA"/>
    <w:rsid w:val="00B16F56"/>
    <w:rsid w:val="00B2595E"/>
    <w:rsid w:val="00B2619D"/>
    <w:rsid w:val="00B31084"/>
    <w:rsid w:val="00B348A0"/>
    <w:rsid w:val="00B40CA8"/>
    <w:rsid w:val="00B43341"/>
    <w:rsid w:val="00B435E6"/>
    <w:rsid w:val="00B44F77"/>
    <w:rsid w:val="00B46319"/>
    <w:rsid w:val="00B47CB8"/>
    <w:rsid w:val="00B506D6"/>
    <w:rsid w:val="00B50F3D"/>
    <w:rsid w:val="00B57A2A"/>
    <w:rsid w:val="00B57F9D"/>
    <w:rsid w:val="00B64ED8"/>
    <w:rsid w:val="00B66B9F"/>
    <w:rsid w:val="00B76A75"/>
    <w:rsid w:val="00B775BB"/>
    <w:rsid w:val="00B81D12"/>
    <w:rsid w:val="00B81D4B"/>
    <w:rsid w:val="00B82476"/>
    <w:rsid w:val="00B90355"/>
    <w:rsid w:val="00B90C3A"/>
    <w:rsid w:val="00B91FC5"/>
    <w:rsid w:val="00B92437"/>
    <w:rsid w:val="00B93708"/>
    <w:rsid w:val="00B93B34"/>
    <w:rsid w:val="00BB0DBF"/>
    <w:rsid w:val="00BB1F74"/>
    <w:rsid w:val="00BB34EB"/>
    <w:rsid w:val="00BB7E82"/>
    <w:rsid w:val="00BC0A72"/>
    <w:rsid w:val="00BC1A1A"/>
    <w:rsid w:val="00BD0B27"/>
    <w:rsid w:val="00BD24A1"/>
    <w:rsid w:val="00BD2970"/>
    <w:rsid w:val="00BD5407"/>
    <w:rsid w:val="00BD7C7C"/>
    <w:rsid w:val="00BE0EC6"/>
    <w:rsid w:val="00BE57A3"/>
    <w:rsid w:val="00BE7F77"/>
    <w:rsid w:val="00BF008D"/>
    <w:rsid w:val="00BF0139"/>
    <w:rsid w:val="00BF14E4"/>
    <w:rsid w:val="00BF1B80"/>
    <w:rsid w:val="00BF4BF5"/>
    <w:rsid w:val="00BF4CC0"/>
    <w:rsid w:val="00BF565E"/>
    <w:rsid w:val="00BF56D0"/>
    <w:rsid w:val="00BF60A3"/>
    <w:rsid w:val="00C03F41"/>
    <w:rsid w:val="00C10B80"/>
    <w:rsid w:val="00C11FEA"/>
    <w:rsid w:val="00C13C3F"/>
    <w:rsid w:val="00C16635"/>
    <w:rsid w:val="00C174D2"/>
    <w:rsid w:val="00C23518"/>
    <w:rsid w:val="00C25513"/>
    <w:rsid w:val="00C25B9B"/>
    <w:rsid w:val="00C30350"/>
    <w:rsid w:val="00C340F0"/>
    <w:rsid w:val="00C3748B"/>
    <w:rsid w:val="00C40B31"/>
    <w:rsid w:val="00C45F1A"/>
    <w:rsid w:val="00C473C9"/>
    <w:rsid w:val="00C5592F"/>
    <w:rsid w:val="00C55AEF"/>
    <w:rsid w:val="00C56C92"/>
    <w:rsid w:val="00C61BCE"/>
    <w:rsid w:val="00C637F7"/>
    <w:rsid w:val="00C6410B"/>
    <w:rsid w:val="00C6435B"/>
    <w:rsid w:val="00C7016D"/>
    <w:rsid w:val="00C83F7D"/>
    <w:rsid w:val="00C8597E"/>
    <w:rsid w:val="00C87666"/>
    <w:rsid w:val="00C92AA0"/>
    <w:rsid w:val="00CA1CC1"/>
    <w:rsid w:val="00CA3D98"/>
    <w:rsid w:val="00CA441A"/>
    <w:rsid w:val="00CB0FD9"/>
    <w:rsid w:val="00CB3CF8"/>
    <w:rsid w:val="00CB416A"/>
    <w:rsid w:val="00CB593E"/>
    <w:rsid w:val="00CC176A"/>
    <w:rsid w:val="00CC5398"/>
    <w:rsid w:val="00CC5A79"/>
    <w:rsid w:val="00CD19BC"/>
    <w:rsid w:val="00CD2F79"/>
    <w:rsid w:val="00CD69CB"/>
    <w:rsid w:val="00CE5E0A"/>
    <w:rsid w:val="00CE6BF4"/>
    <w:rsid w:val="00CE7978"/>
    <w:rsid w:val="00CF15CE"/>
    <w:rsid w:val="00CF21ED"/>
    <w:rsid w:val="00D014EA"/>
    <w:rsid w:val="00D054D1"/>
    <w:rsid w:val="00D12DB8"/>
    <w:rsid w:val="00D173E3"/>
    <w:rsid w:val="00D21627"/>
    <w:rsid w:val="00D22049"/>
    <w:rsid w:val="00D305E6"/>
    <w:rsid w:val="00D34D6C"/>
    <w:rsid w:val="00D36817"/>
    <w:rsid w:val="00D40B12"/>
    <w:rsid w:val="00D4634D"/>
    <w:rsid w:val="00D46561"/>
    <w:rsid w:val="00D4770C"/>
    <w:rsid w:val="00D513E0"/>
    <w:rsid w:val="00D53982"/>
    <w:rsid w:val="00D57E39"/>
    <w:rsid w:val="00D646F8"/>
    <w:rsid w:val="00D704CF"/>
    <w:rsid w:val="00D73DCE"/>
    <w:rsid w:val="00D745FD"/>
    <w:rsid w:val="00D749CA"/>
    <w:rsid w:val="00D81AA3"/>
    <w:rsid w:val="00D85668"/>
    <w:rsid w:val="00D86621"/>
    <w:rsid w:val="00D86CC0"/>
    <w:rsid w:val="00D92AE8"/>
    <w:rsid w:val="00DA1615"/>
    <w:rsid w:val="00DA32F9"/>
    <w:rsid w:val="00DA5E32"/>
    <w:rsid w:val="00DB25A7"/>
    <w:rsid w:val="00DB4DF1"/>
    <w:rsid w:val="00DB73B7"/>
    <w:rsid w:val="00DC66F8"/>
    <w:rsid w:val="00DD2371"/>
    <w:rsid w:val="00DD2DC4"/>
    <w:rsid w:val="00DD3B2F"/>
    <w:rsid w:val="00DD5E0E"/>
    <w:rsid w:val="00DD65E0"/>
    <w:rsid w:val="00DD7074"/>
    <w:rsid w:val="00DD7480"/>
    <w:rsid w:val="00DE26F4"/>
    <w:rsid w:val="00DE380D"/>
    <w:rsid w:val="00DE3E33"/>
    <w:rsid w:val="00DE47D9"/>
    <w:rsid w:val="00DE6D4E"/>
    <w:rsid w:val="00DF11C6"/>
    <w:rsid w:val="00DF1362"/>
    <w:rsid w:val="00DF44C6"/>
    <w:rsid w:val="00DF4EAC"/>
    <w:rsid w:val="00DF5080"/>
    <w:rsid w:val="00DF67A7"/>
    <w:rsid w:val="00E0021E"/>
    <w:rsid w:val="00E0070A"/>
    <w:rsid w:val="00E0585C"/>
    <w:rsid w:val="00E07E1B"/>
    <w:rsid w:val="00E12126"/>
    <w:rsid w:val="00E21E69"/>
    <w:rsid w:val="00E24BA4"/>
    <w:rsid w:val="00E26486"/>
    <w:rsid w:val="00E2652C"/>
    <w:rsid w:val="00E26E27"/>
    <w:rsid w:val="00E31079"/>
    <w:rsid w:val="00E34119"/>
    <w:rsid w:val="00E37DBB"/>
    <w:rsid w:val="00E43440"/>
    <w:rsid w:val="00E45D7C"/>
    <w:rsid w:val="00E504B3"/>
    <w:rsid w:val="00E53761"/>
    <w:rsid w:val="00E55C92"/>
    <w:rsid w:val="00E60137"/>
    <w:rsid w:val="00E6118C"/>
    <w:rsid w:val="00E61F55"/>
    <w:rsid w:val="00E67814"/>
    <w:rsid w:val="00E70629"/>
    <w:rsid w:val="00E807F8"/>
    <w:rsid w:val="00E8622D"/>
    <w:rsid w:val="00E8680A"/>
    <w:rsid w:val="00E907BA"/>
    <w:rsid w:val="00E9082D"/>
    <w:rsid w:val="00E96DB2"/>
    <w:rsid w:val="00E972C1"/>
    <w:rsid w:val="00EA09D1"/>
    <w:rsid w:val="00EA5CFE"/>
    <w:rsid w:val="00EB081A"/>
    <w:rsid w:val="00EB3551"/>
    <w:rsid w:val="00EB3D9F"/>
    <w:rsid w:val="00EB4799"/>
    <w:rsid w:val="00EB47C5"/>
    <w:rsid w:val="00EC1CE0"/>
    <w:rsid w:val="00EC510D"/>
    <w:rsid w:val="00EC6817"/>
    <w:rsid w:val="00ED0933"/>
    <w:rsid w:val="00ED3B24"/>
    <w:rsid w:val="00ED5C5C"/>
    <w:rsid w:val="00ED7ABE"/>
    <w:rsid w:val="00EE0F69"/>
    <w:rsid w:val="00EE10C2"/>
    <w:rsid w:val="00EE416C"/>
    <w:rsid w:val="00EF0E9C"/>
    <w:rsid w:val="00EF2348"/>
    <w:rsid w:val="00EF2BF3"/>
    <w:rsid w:val="00EF5BDD"/>
    <w:rsid w:val="00EF5F8E"/>
    <w:rsid w:val="00F02134"/>
    <w:rsid w:val="00F06760"/>
    <w:rsid w:val="00F06A2C"/>
    <w:rsid w:val="00F107E5"/>
    <w:rsid w:val="00F15EFF"/>
    <w:rsid w:val="00F16300"/>
    <w:rsid w:val="00F217EF"/>
    <w:rsid w:val="00F23B80"/>
    <w:rsid w:val="00F24733"/>
    <w:rsid w:val="00F27D9C"/>
    <w:rsid w:val="00F30209"/>
    <w:rsid w:val="00F31D61"/>
    <w:rsid w:val="00F32FD7"/>
    <w:rsid w:val="00F34929"/>
    <w:rsid w:val="00F35231"/>
    <w:rsid w:val="00F3567B"/>
    <w:rsid w:val="00F358AC"/>
    <w:rsid w:val="00F37466"/>
    <w:rsid w:val="00F41B23"/>
    <w:rsid w:val="00F41BD6"/>
    <w:rsid w:val="00F440BA"/>
    <w:rsid w:val="00F505E1"/>
    <w:rsid w:val="00F50ACD"/>
    <w:rsid w:val="00F50C18"/>
    <w:rsid w:val="00F542FA"/>
    <w:rsid w:val="00F5482F"/>
    <w:rsid w:val="00F54E0F"/>
    <w:rsid w:val="00F577EF"/>
    <w:rsid w:val="00F60A2D"/>
    <w:rsid w:val="00F617BA"/>
    <w:rsid w:val="00F619E1"/>
    <w:rsid w:val="00F64884"/>
    <w:rsid w:val="00F66775"/>
    <w:rsid w:val="00F706CA"/>
    <w:rsid w:val="00F713C8"/>
    <w:rsid w:val="00F7387C"/>
    <w:rsid w:val="00F800ED"/>
    <w:rsid w:val="00F81084"/>
    <w:rsid w:val="00F813C0"/>
    <w:rsid w:val="00F817DC"/>
    <w:rsid w:val="00F85A3D"/>
    <w:rsid w:val="00F93045"/>
    <w:rsid w:val="00F97263"/>
    <w:rsid w:val="00F97381"/>
    <w:rsid w:val="00FA4338"/>
    <w:rsid w:val="00FB1666"/>
    <w:rsid w:val="00FB27A9"/>
    <w:rsid w:val="00FB2D16"/>
    <w:rsid w:val="00FB5625"/>
    <w:rsid w:val="00FB7062"/>
    <w:rsid w:val="00FC0032"/>
    <w:rsid w:val="00FC1954"/>
    <w:rsid w:val="00FC4E1B"/>
    <w:rsid w:val="00FD00B7"/>
    <w:rsid w:val="00FD39A0"/>
    <w:rsid w:val="00FD4563"/>
    <w:rsid w:val="00FE583A"/>
    <w:rsid w:val="00FF0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29DDF-D0AD-4820-AB56-87313AD8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AE6"/>
    <w:rPr>
      <w:rFonts w:ascii="Times New Roman" w:eastAsia="Times New Roman" w:hAnsi="Times New Roman"/>
      <w:sz w:val="24"/>
      <w:szCs w:val="24"/>
    </w:rPr>
  </w:style>
  <w:style w:type="paragraph" w:styleId="1">
    <w:name w:val="heading 1"/>
    <w:basedOn w:val="a"/>
    <w:next w:val="a"/>
    <w:link w:val="10"/>
    <w:qFormat/>
    <w:rsid w:val="00F37466"/>
    <w:pPr>
      <w:keepNext/>
      <w:jc w:val="center"/>
      <w:outlineLvl w:val="0"/>
    </w:pPr>
    <w:rPr>
      <w:b/>
    </w:rPr>
  </w:style>
  <w:style w:type="paragraph" w:styleId="3">
    <w:name w:val="heading 3"/>
    <w:basedOn w:val="a"/>
    <w:next w:val="a"/>
    <w:link w:val="30"/>
    <w:qFormat/>
    <w:rsid w:val="00F37466"/>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37466"/>
    <w:rPr>
      <w:rFonts w:ascii="Times New Roman" w:eastAsia="Times New Roman" w:hAnsi="Times New Roman" w:cs="Times New Roman"/>
      <w:b/>
      <w:sz w:val="24"/>
      <w:szCs w:val="24"/>
      <w:lang w:eastAsia="ru-RU"/>
    </w:rPr>
  </w:style>
  <w:style w:type="character" w:customStyle="1" w:styleId="30">
    <w:name w:val="Заголовок 3 Знак"/>
    <w:link w:val="3"/>
    <w:rsid w:val="00F37466"/>
    <w:rPr>
      <w:rFonts w:ascii="Arial" w:eastAsia="Times New Roman" w:hAnsi="Arial" w:cs="Arial"/>
      <w:b/>
      <w:bCs/>
      <w:sz w:val="26"/>
      <w:szCs w:val="26"/>
      <w:lang w:eastAsia="ru-RU"/>
    </w:rPr>
  </w:style>
  <w:style w:type="paragraph" w:styleId="a3">
    <w:name w:val="Body Text"/>
    <w:basedOn w:val="a"/>
    <w:link w:val="a4"/>
    <w:rsid w:val="00F37466"/>
    <w:pPr>
      <w:jc w:val="both"/>
    </w:pPr>
    <w:rPr>
      <w:b/>
      <w:bCs/>
      <w:sz w:val="28"/>
    </w:rPr>
  </w:style>
  <w:style w:type="character" w:customStyle="1" w:styleId="a4">
    <w:name w:val="Основной текст Знак"/>
    <w:link w:val="a3"/>
    <w:rsid w:val="00F37466"/>
    <w:rPr>
      <w:rFonts w:ascii="Times New Roman" w:eastAsia="Times New Roman" w:hAnsi="Times New Roman" w:cs="Times New Roman"/>
      <w:b/>
      <w:bCs/>
      <w:sz w:val="28"/>
      <w:szCs w:val="24"/>
      <w:lang w:eastAsia="ru-RU"/>
    </w:rPr>
  </w:style>
  <w:style w:type="paragraph" w:styleId="a5">
    <w:name w:val="Balloon Text"/>
    <w:basedOn w:val="a"/>
    <w:link w:val="a6"/>
    <w:uiPriority w:val="99"/>
    <w:unhideWhenUsed/>
    <w:rsid w:val="00F37466"/>
    <w:rPr>
      <w:rFonts w:ascii="Tahoma" w:hAnsi="Tahoma"/>
      <w:sz w:val="16"/>
      <w:szCs w:val="16"/>
    </w:rPr>
  </w:style>
  <w:style w:type="character" w:customStyle="1" w:styleId="a6">
    <w:name w:val="Текст выноски Знак"/>
    <w:link w:val="a5"/>
    <w:uiPriority w:val="99"/>
    <w:rsid w:val="00F37466"/>
    <w:rPr>
      <w:rFonts w:ascii="Tahoma" w:eastAsia="Times New Roman" w:hAnsi="Tahoma" w:cs="Tahoma"/>
      <w:sz w:val="16"/>
      <w:szCs w:val="16"/>
      <w:lang w:eastAsia="ru-RU"/>
    </w:rPr>
  </w:style>
  <w:style w:type="paragraph" w:customStyle="1" w:styleId="11">
    <w:name w:val="Знак1 Знак Знак Знак"/>
    <w:basedOn w:val="a"/>
    <w:rsid w:val="00F37466"/>
    <w:pPr>
      <w:spacing w:after="160" w:line="240" w:lineRule="exact"/>
    </w:pPr>
    <w:rPr>
      <w:rFonts w:ascii="Verdana" w:hAnsi="Verdana"/>
      <w:sz w:val="20"/>
      <w:szCs w:val="20"/>
      <w:lang w:val="en-US" w:eastAsia="en-US"/>
    </w:rPr>
  </w:style>
  <w:style w:type="paragraph" w:styleId="2">
    <w:name w:val="Body Text 2"/>
    <w:basedOn w:val="a"/>
    <w:link w:val="20"/>
    <w:rsid w:val="00F37466"/>
    <w:pPr>
      <w:spacing w:after="120" w:line="480" w:lineRule="auto"/>
    </w:pPr>
  </w:style>
  <w:style w:type="character" w:customStyle="1" w:styleId="20">
    <w:name w:val="Основной текст 2 Знак"/>
    <w:link w:val="2"/>
    <w:rsid w:val="00F37466"/>
    <w:rPr>
      <w:rFonts w:ascii="Times New Roman" w:eastAsia="Times New Roman" w:hAnsi="Times New Roman" w:cs="Times New Roman"/>
      <w:sz w:val="24"/>
      <w:szCs w:val="24"/>
      <w:lang w:eastAsia="ru-RU"/>
    </w:rPr>
  </w:style>
  <w:style w:type="table" w:styleId="a7">
    <w:name w:val="Table Grid"/>
    <w:basedOn w:val="a1"/>
    <w:uiPriority w:val="59"/>
    <w:rsid w:val="009013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9013D4"/>
    <w:pPr>
      <w:spacing w:after="120"/>
    </w:pPr>
    <w:rPr>
      <w:sz w:val="16"/>
      <w:szCs w:val="16"/>
    </w:rPr>
  </w:style>
  <w:style w:type="character" w:customStyle="1" w:styleId="32">
    <w:name w:val="Основной текст 3 Знак"/>
    <w:link w:val="31"/>
    <w:rsid w:val="009013D4"/>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4E22D3"/>
    <w:pPr>
      <w:tabs>
        <w:tab w:val="center" w:pos="4677"/>
        <w:tab w:val="right" w:pos="9355"/>
      </w:tabs>
    </w:pPr>
  </w:style>
  <w:style w:type="character" w:customStyle="1" w:styleId="a9">
    <w:name w:val="Верхний колонтитул Знак"/>
    <w:link w:val="a8"/>
    <w:uiPriority w:val="99"/>
    <w:rsid w:val="004E22D3"/>
    <w:rPr>
      <w:rFonts w:ascii="Times New Roman" w:eastAsia="Times New Roman" w:hAnsi="Times New Roman"/>
      <w:sz w:val="24"/>
      <w:szCs w:val="24"/>
    </w:rPr>
  </w:style>
  <w:style w:type="paragraph" w:styleId="aa">
    <w:name w:val="footer"/>
    <w:basedOn w:val="a"/>
    <w:link w:val="ab"/>
    <w:uiPriority w:val="99"/>
    <w:unhideWhenUsed/>
    <w:rsid w:val="004E22D3"/>
    <w:pPr>
      <w:tabs>
        <w:tab w:val="center" w:pos="4677"/>
        <w:tab w:val="right" w:pos="9355"/>
      </w:tabs>
    </w:pPr>
  </w:style>
  <w:style w:type="character" w:customStyle="1" w:styleId="ab">
    <w:name w:val="Нижний колонтитул Знак"/>
    <w:link w:val="aa"/>
    <w:uiPriority w:val="99"/>
    <w:rsid w:val="004E22D3"/>
    <w:rPr>
      <w:rFonts w:ascii="Times New Roman" w:eastAsia="Times New Roman" w:hAnsi="Times New Roman"/>
      <w:sz w:val="24"/>
      <w:szCs w:val="24"/>
    </w:rPr>
  </w:style>
  <w:style w:type="paragraph" w:customStyle="1" w:styleId="12">
    <w:name w:val="Знак1 Знак Знак Знак"/>
    <w:basedOn w:val="a"/>
    <w:rsid w:val="009031AC"/>
    <w:pPr>
      <w:spacing w:after="160" w:line="240" w:lineRule="exact"/>
    </w:pPr>
    <w:rPr>
      <w:rFonts w:ascii="Verdana" w:hAnsi="Verdana"/>
      <w:sz w:val="20"/>
      <w:szCs w:val="20"/>
      <w:lang w:val="en-US" w:eastAsia="en-US"/>
    </w:rPr>
  </w:style>
  <w:style w:type="paragraph" w:styleId="ac">
    <w:name w:val="Body Text Indent"/>
    <w:basedOn w:val="a"/>
    <w:link w:val="ad"/>
    <w:rsid w:val="009031AC"/>
    <w:pPr>
      <w:spacing w:after="120"/>
      <w:ind w:left="283"/>
    </w:pPr>
  </w:style>
  <w:style w:type="character" w:customStyle="1" w:styleId="ad">
    <w:name w:val="Основной текст с отступом Знак"/>
    <w:link w:val="ac"/>
    <w:rsid w:val="009031AC"/>
    <w:rPr>
      <w:rFonts w:ascii="Times New Roman" w:eastAsia="Times New Roman" w:hAnsi="Times New Roman"/>
      <w:sz w:val="24"/>
      <w:szCs w:val="24"/>
    </w:rPr>
  </w:style>
  <w:style w:type="character" w:customStyle="1" w:styleId="ae">
    <w:name w:val="Гипертекстовая ссылка"/>
    <w:uiPriority w:val="99"/>
    <w:rsid w:val="009031AC"/>
    <w:rPr>
      <w:color w:val="008000"/>
    </w:rPr>
  </w:style>
  <w:style w:type="paragraph" w:customStyle="1" w:styleId="af">
    <w:name w:val="Таблицы (моноширинный)"/>
    <w:basedOn w:val="a"/>
    <w:next w:val="a"/>
    <w:rsid w:val="009031AC"/>
    <w:pPr>
      <w:widowControl w:val="0"/>
      <w:autoSpaceDE w:val="0"/>
      <w:autoSpaceDN w:val="0"/>
      <w:adjustRightInd w:val="0"/>
      <w:jc w:val="both"/>
    </w:pPr>
    <w:rPr>
      <w:rFonts w:ascii="Courier New" w:hAnsi="Courier New" w:cs="Courier New"/>
    </w:rPr>
  </w:style>
  <w:style w:type="character" w:styleId="af0">
    <w:name w:val="Emphasis"/>
    <w:qFormat/>
    <w:rsid w:val="009031AC"/>
    <w:rPr>
      <w:i/>
      <w:iCs/>
    </w:rPr>
  </w:style>
  <w:style w:type="character" w:customStyle="1" w:styleId="af1">
    <w:name w:val="Цветовое выделение"/>
    <w:uiPriority w:val="99"/>
    <w:rsid w:val="00A43A7A"/>
    <w:rPr>
      <w:b/>
      <w:color w:val="000080"/>
    </w:rPr>
  </w:style>
  <w:style w:type="paragraph" w:customStyle="1" w:styleId="af2">
    <w:name w:val="Нормальный (таблица)"/>
    <w:basedOn w:val="a"/>
    <w:next w:val="a"/>
    <w:uiPriority w:val="99"/>
    <w:rsid w:val="00A43A7A"/>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A43A7A"/>
    <w:pPr>
      <w:widowControl w:val="0"/>
      <w:autoSpaceDE w:val="0"/>
      <w:autoSpaceDN w:val="0"/>
      <w:adjustRightInd w:val="0"/>
    </w:pPr>
    <w:rPr>
      <w:rFonts w:ascii="Arial" w:hAnsi="Arial" w:cs="Arial"/>
    </w:rPr>
  </w:style>
  <w:style w:type="paragraph" w:styleId="af4">
    <w:name w:val="footnote text"/>
    <w:basedOn w:val="a"/>
    <w:link w:val="af5"/>
    <w:uiPriority w:val="99"/>
    <w:semiHidden/>
    <w:unhideWhenUsed/>
    <w:rsid w:val="00750226"/>
    <w:rPr>
      <w:sz w:val="20"/>
      <w:szCs w:val="20"/>
    </w:rPr>
  </w:style>
  <w:style w:type="character" w:customStyle="1" w:styleId="af5">
    <w:name w:val="Текст сноски Знак"/>
    <w:link w:val="af4"/>
    <w:uiPriority w:val="99"/>
    <w:semiHidden/>
    <w:rsid w:val="00750226"/>
    <w:rPr>
      <w:rFonts w:ascii="Times New Roman" w:eastAsia="Times New Roman" w:hAnsi="Times New Roman"/>
    </w:rPr>
  </w:style>
  <w:style w:type="character" w:styleId="af6">
    <w:name w:val="footnote reference"/>
    <w:uiPriority w:val="99"/>
    <w:semiHidden/>
    <w:unhideWhenUsed/>
    <w:rsid w:val="00750226"/>
    <w:rPr>
      <w:vertAlign w:val="superscript"/>
    </w:rPr>
  </w:style>
  <w:style w:type="paragraph" w:customStyle="1" w:styleId="ConsPlusCell">
    <w:name w:val="ConsPlusCell"/>
    <w:uiPriority w:val="99"/>
    <w:rsid w:val="00FD39A0"/>
    <w:pPr>
      <w:widowControl w:val="0"/>
      <w:autoSpaceDE w:val="0"/>
      <w:autoSpaceDN w:val="0"/>
      <w:adjustRightInd w:val="0"/>
    </w:pPr>
    <w:rPr>
      <w:rFonts w:eastAsia="Times New Roman" w:cs="Calibri"/>
      <w:sz w:val="22"/>
      <w:szCs w:val="22"/>
    </w:rPr>
  </w:style>
  <w:style w:type="character" w:customStyle="1" w:styleId="13">
    <w:name w:val="Основной текст с отступом Знак1"/>
    <w:uiPriority w:val="99"/>
    <w:semiHidden/>
    <w:rsid w:val="00A86AE7"/>
    <w:rPr>
      <w:rFonts w:ascii="Times New Roman" w:eastAsia="Times New Roman" w:hAnsi="Times New Roman" w:cs="Times New Roman"/>
      <w:sz w:val="24"/>
      <w:szCs w:val="24"/>
      <w:lang w:eastAsia="ru-RU"/>
    </w:rPr>
  </w:style>
  <w:style w:type="character" w:customStyle="1" w:styleId="14">
    <w:name w:val="Нижний колонтитул Знак1"/>
    <w:uiPriority w:val="99"/>
    <w:semiHidden/>
    <w:rsid w:val="00554D4F"/>
    <w:rPr>
      <w:rFonts w:ascii="Times New Roman" w:eastAsia="Times New Roman" w:hAnsi="Times New Roman" w:cs="Times New Roman"/>
      <w:sz w:val="24"/>
      <w:szCs w:val="24"/>
      <w:lang w:eastAsia="ru-RU"/>
    </w:rPr>
  </w:style>
  <w:style w:type="paragraph" w:styleId="af7">
    <w:name w:val="List Paragraph"/>
    <w:basedOn w:val="a"/>
    <w:uiPriority w:val="34"/>
    <w:qFormat/>
    <w:rsid w:val="00E8622D"/>
    <w:pPr>
      <w:spacing w:after="200" w:line="276" w:lineRule="auto"/>
      <w:ind w:left="720"/>
      <w:contextualSpacing/>
    </w:pPr>
    <w:rPr>
      <w:rFonts w:ascii="Calibri" w:eastAsia="Calibri" w:hAnsi="Calibri"/>
      <w:sz w:val="22"/>
      <w:szCs w:val="22"/>
      <w:lang w:eastAsia="en-US"/>
    </w:rPr>
  </w:style>
  <w:style w:type="numbering" w:customStyle="1" w:styleId="15">
    <w:name w:val="Нет списка1"/>
    <w:next w:val="a2"/>
    <w:uiPriority w:val="99"/>
    <w:semiHidden/>
    <w:unhideWhenUsed/>
    <w:rsid w:val="00271AE6"/>
  </w:style>
  <w:style w:type="table" w:customStyle="1" w:styleId="16">
    <w:name w:val="Сетка таблицы1"/>
    <w:basedOn w:val="a1"/>
    <w:next w:val="a7"/>
    <w:uiPriority w:val="59"/>
    <w:rsid w:val="00271A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 Знак1 Знак Знак Знак"/>
    <w:basedOn w:val="a"/>
    <w:rsid w:val="00271AE6"/>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9350">
      <w:bodyDiv w:val="1"/>
      <w:marLeft w:val="0"/>
      <w:marRight w:val="0"/>
      <w:marTop w:val="0"/>
      <w:marBottom w:val="0"/>
      <w:divBdr>
        <w:top w:val="none" w:sz="0" w:space="0" w:color="auto"/>
        <w:left w:val="none" w:sz="0" w:space="0" w:color="auto"/>
        <w:bottom w:val="none" w:sz="0" w:space="0" w:color="auto"/>
        <w:right w:val="none" w:sz="0" w:space="0" w:color="auto"/>
      </w:divBdr>
    </w:div>
    <w:div w:id="346062657">
      <w:bodyDiv w:val="1"/>
      <w:marLeft w:val="0"/>
      <w:marRight w:val="0"/>
      <w:marTop w:val="0"/>
      <w:marBottom w:val="0"/>
      <w:divBdr>
        <w:top w:val="none" w:sz="0" w:space="0" w:color="auto"/>
        <w:left w:val="none" w:sz="0" w:space="0" w:color="auto"/>
        <w:bottom w:val="none" w:sz="0" w:space="0" w:color="auto"/>
        <w:right w:val="none" w:sz="0" w:space="0" w:color="auto"/>
      </w:divBdr>
    </w:div>
    <w:div w:id="445539272">
      <w:bodyDiv w:val="1"/>
      <w:marLeft w:val="0"/>
      <w:marRight w:val="0"/>
      <w:marTop w:val="0"/>
      <w:marBottom w:val="0"/>
      <w:divBdr>
        <w:top w:val="none" w:sz="0" w:space="0" w:color="auto"/>
        <w:left w:val="none" w:sz="0" w:space="0" w:color="auto"/>
        <w:bottom w:val="none" w:sz="0" w:space="0" w:color="auto"/>
        <w:right w:val="none" w:sz="0" w:space="0" w:color="auto"/>
      </w:divBdr>
    </w:div>
    <w:div w:id="682434442">
      <w:bodyDiv w:val="1"/>
      <w:marLeft w:val="0"/>
      <w:marRight w:val="0"/>
      <w:marTop w:val="0"/>
      <w:marBottom w:val="0"/>
      <w:divBdr>
        <w:top w:val="none" w:sz="0" w:space="0" w:color="auto"/>
        <w:left w:val="none" w:sz="0" w:space="0" w:color="auto"/>
        <w:bottom w:val="none" w:sz="0" w:space="0" w:color="auto"/>
        <w:right w:val="none" w:sz="0" w:space="0" w:color="auto"/>
      </w:divBdr>
    </w:div>
    <w:div w:id="875310851">
      <w:bodyDiv w:val="1"/>
      <w:marLeft w:val="0"/>
      <w:marRight w:val="0"/>
      <w:marTop w:val="0"/>
      <w:marBottom w:val="0"/>
      <w:divBdr>
        <w:top w:val="none" w:sz="0" w:space="0" w:color="auto"/>
        <w:left w:val="none" w:sz="0" w:space="0" w:color="auto"/>
        <w:bottom w:val="none" w:sz="0" w:space="0" w:color="auto"/>
        <w:right w:val="none" w:sz="0" w:space="0" w:color="auto"/>
      </w:divBdr>
    </w:div>
    <w:div w:id="1316884241">
      <w:bodyDiv w:val="1"/>
      <w:marLeft w:val="0"/>
      <w:marRight w:val="0"/>
      <w:marTop w:val="0"/>
      <w:marBottom w:val="0"/>
      <w:divBdr>
        <w:top w:val="none" w:sz="0" w:space="0" w:color="auto"/>
        <w:left w:val="none" w:sz="0" w:space="0" w:color="auto"/>
        <w:bottom w:val="none" w:sz="0" w:space="0" w:color="auto"/>
        <w:right w:val="none" w:sz="0" w:space="0" w:color="auto"/>
      </w:divBdr>
    </w:div>
    <w:div w:id="1352880806">
      <w:bodyDiv w:val="1"/>
      <w:marLeft w:val="0"/>
      <w:marRight w:val="0"/>
      <w:marTop w:val="0"/>
      <w:marBottom w:val="0"/>
      <w:divBdr>
        <w:top w:val="none" w:sz="0" w:space="0" w:color="auto"/>
        <w:left w:val="none" w:sz="0" w:space="0" w:color="auto"/>
        <w:bottom w:val="none" w:sz="0" w:space="0" w:color="auto"/>
        <w:right w:val="none" w:sz="0" w:space="0" w:color="auto"/>
      </w:divBdr>
    </w:div>
    <w:div w:id="1414888665">
      <w:bodyDiv w:val="1"/>
      <w:marLeft w:val="0"/>
      <w:marRight w:val="0"/>
      <w:marTop w:val="0"/>
      <w:marBottom w:val="0"/>
      <w:divBdr>
        <w:top w:val="none" w:sz="0" w:space="0" w:color="auto"/>
        <w:left w:val="none" w:sz="0" w:space="0" w:color="auto"/>
        <w:bottom w:val="none" w:sz="0" w:space="0" w:color="auto"/>
        <w:right w:val="none" w:sz="0" w:space="0" w:color="auto"/>
      </w:divBdr>
    </w:div>
    <w:div w:id="1524243838">
      <w:bodyDiv w:val="1"/>
      <w:marLeft w:val="0"/>
      <w:marRight w:val="0"/>
      <w:marTop w:val="0"/>
      <w:marBottom w:val="0"/>
      <w:divBdr>
        <w:top w:val="none" w:sz="0" w:space="0" w:color="auto"/>
        <w:left w:val="none" w:sz="0" w:space="0" w:color="auto"/>
        <w:bottom w:val="none" w:sz="0" w:space="0" w:color="auto"/>
        <w:right w:val="none" w:sz="0" w:space="0" w:color="auto"/>
      </w:divBdr>
    </w:div>
    <w:div w:id="1596788810">
      <w:bodyDiv w:val="1"/>
      <w:marLeft w:val="0"/>
      <w:marRight w:val="0"/>
      <w:marTop w:val="0"/>
      <w:marBottom w:val="0"/>
      <w:divBdr>
        <w:top w:val="none" w:sz="0" w:space="0" w:color="auto"/>
        <w:left w:val="none" w:sz="0" w:space="0" w:color="auto"/>
        <w:bottom w:val="none" w:sz="0" w:space="0" w:color="auto"/>
        <w:right w:val="none" w:sz="0" w:space="0" w:color="auto"/>
      </w:divBdr>
    </w:div>
    <w:div w:id="1718964978">
      <w:bodyDiv w:val="1"/>
      <w:marLeft w:val="0"/>
      <w:marRight w:val="0"/>
      <w:marTop w:val="0"/>
      <w:marBottom w:val="0"/>
      <w:divBdr>
        <w:top w:val="none" w:sz="0" w:space="0" w:color="auto"/>
        <w:left w:val="none" w:sz="0" w:space="0" w:color="auto"/>
        <w:bottom w:val="none" w:sz="0" w:space="0" w:color="auto"/>
        <w:right w:val="none" w:sz="0" w:space="0" w:color="auto"/>
      </w:divBdr>
    </w:div>
    <w:div w:id="17698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040846A05D1C0D774708EDE97743BAEAA77D2A9183E8314A530754158CABD8F0369587AC4E3D2C03C3F1D06B6L3E" TargetMode="External"/><Relationship Id="rId4" Type="http://schemas.openxmlformats.org/officeDocument/2006/relationships/settings" Target="settings.xml"/><Relationship Id="rId9" Type="http://schemas.openxmlformats.org/officeDocument/2006/relationships/hyperlink" Target="consultantplus://offline/ref=C040846A05D1C0D774708EDE97743BAEAA77D2A9183E8314A530754158CABD8F0369587AC4E3D2C03C3F1D06B6L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725D-62F5-41C3-A195-DCBE081C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2396</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Светлана Анатольевна</dc:creator>
  <cp:lastModifiedBy>Лопатникова Марина Викторовна</cp:lastModifiedBy>
  <cp:revision>4</cp:revision>
  <cp:lastPrinted>2018-11-29T21:52:00Z</cp:lastPrinted>
  <dcterms:created xsi:type="dcterms:W3CDTF">2019-11-27T07:55:00Z</dcterms:created>
  <dcterms:modified xsi:type="dcterms:W3CDTF">2019-11-27T08:12:00Z</dcterms:modified>
</cp:coreProperties>
</file>