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64" w:rsidRDefault="005E4B64" w:rsidP="005E4B64">
      <w:pPr>
        <w:spacing w:after="0" w:line="240" w:lineRule="auto"/>
        <w:ind w:firstLine="708"/>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w:t>
      </w:r>
      <w:r w:rsidRPr="007173E1">
        <w:rPr>
          <w:rFonts w:ascii="Times New Roman" w:hAnsi="Times New Roman" w:cs="Times New Roman"/>
          <w:b/>
          <w:sz w:val="28"/>
          <w:szCs w:val="28"/>
        </w:rPr>
        <w:t xml:space="preserve">еятельность Совета </w:t>
      </w:r>
      <w:r w:rsidRPr="00CA5699">
        <w:rPr>
          <w:rFonts w:ascii="Times New Roman" w:hAnsi="Times New Roman" w:cs="Times New Roman"/>
          <w:b/>
          <w:sz w:val="28"/>
          <w:szCs w:val="28"/>
        </w:rPr>
        <w:t>потребителей по вопросам деятельности субъектов естественных монополий в Камчатском крае</w:t>
      </w:r>
      <w:r w:rsidRPr="007173E1">
        <w:rPr>
          <w:rFonts w:ascii="Times New Roman" w:hAnsi="Times New Roman" w:cs="Times New Roman"/>
          <w:b/>
          <w:sz w:val="28"/>
          <w:szCs w:val="28"/>
        </w:rPr>
        <w:t>, достигнутые результаты</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В целях реализации распоряжения Правительства Российской Федерации от 19.09.2013 №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а также в целях осуществления общественного контроля за деятельностью исполнительных органов государственной власти Камчатского края в сфере государственного регулирования цен (тарифов), в том числе по формированию и реализации инвестиционных программ субъектов естественных монополий в Камчатском крае постановлением Губернатора Камчатского края от 17.03.2015 № 25 создан </w:t>
      </w:r>
      <w:r w:rsidRPr="00A841C8">
        <w:rPr>
          <w:rFonts w:ascii="Times New Roman" w:eastAsia="Times New Roman" w:hAnsi="Times New Roman" w:cs="Times New Roman"/>
          <w:b/>
          <w:sz w:val="28"/>
          <w:szCs w:val="28"/>
          <w:lang w:eastAsia="ru-RU"/>
        </w:rPr>
        <w:t>Совет потребителей по вопросам деятельности субъектов естественных монополий в Камчатском крае</w:t>
      </w:r>
      <w:r w:rsidRPr="00A841C8">
        <w:rPr>
          <w:rFonts w:ascii="Times New Roman" w:eastAsia="Times New Roman" w:hAnsi="Times New Roman" w:cs="Times New Roman"/>
          <w:sz w:val="28"/>
          <w:szCs w:val="28"/>
          <w:lang w:eastAsia="ru-RU"/>
        </w:rPr>
        <w:t xml:space="preserve"> </w:t>
      </w:r>
      <w:r w:rsidRPr="00A841C8">
        <w:rPr>
          <w:rFonts w:ascii="Times New Roman" w:eastAsia="Times New Roman" w:hAnsi="Times New Roman" w:cs="Times New Roman"/>
          <w:sz w:val="28"/>
          <w:szCs w:val="28"/>
          <w:lang w:eastAsia="ru-RU"/>
        </w:rPr>
        <w:br/>
        <w:t>(далее – Совет) (</w:t>
      </w:r>
      <w:hyperlink r:id="rId6" w:history="1">
        <w:r w:rsidRPr="00A841C8">
          <w:rPr>
            <w:rFonts w:ascii="Times New Roman" w:eastAsia="Times New Roman" w:hAnsi="Times New Roman" w:cs="Times New Roman"/>
            <w:color w:val="8496B0" w:themeColor="text2" w:themeTint="99"/>
            <w:sz w:val="28"/>
            <w:szCs w:val="28"/>
            <w:u w:val="single"/>
            <w:lang w:eastAsia="ru-RU"/>
          </w:rPr>
          <w:t>https://sltarif.kamgov.ru/sovet-potrebitelej-po-voprosam-deatelnosti-subektov-estestvennyh-monopolij-v-kamcatskom-krae/npa-sovet-porteb</w:t>
        </w:r>
      </w:hyperlink>
      <w:r w:rsidRPr="00A841C8">
        <w:rPr>
          <w:rFonts w:ascii="Times New Roman" w:eastAsia="Times New Roman" w:hAnsi="Times New Roman" w:cs="Times New Roman"/>
          <w:sz w:val="28"/>
          <w:szCs w:val="28"/>
          <w:lang w:eastAsia="ru-RU"/>
        </w:rPr>
        <w:t xml:space="preserve">). </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Распоряжением Губернатора Камчатского края от 17.03.2015 № 255-Р утвержден состав Совета, в который вошли представители Палаты Уполномоченных в Камчатском крае, Камчатского регионального отделения общероссийской общественной организации малого и среднего предпринимательства «Опора России», регионального отраслевого объединения работодателей «Союз работодателей жилищно-коммунальных предприятий Камчатского края», регионального совета Фонда противодействия коррупции «СПК» по Камчатскому краю, Торгово-промышленной палаты Камчатского края, некоммерческого партнерства «Ассоциация председателей советов многоквартирных домов», регионального отделения Общероссийского общественного движения «Народный Фронт «За Россию» в Камчатском крае, обособленного подразделения СРО НП «ЖКХ-Групп» в Петропавловске-Камчатском, Камчатского регионального отделения Общероссийского общественного движения «Россия», некоммерческой организации «Камчатский транспортный союз», Общественной палаты Камчатского края, саморегулируемой организации «Ассоциация арбитражных управляющих «Паритет», Координационного некоммерческого партнерства «Автомобильный союз Камчатки», Камчатского регионального центра общественного контроля в сфере ЖКХ по г. Петропавловску-Камчатскому, Общественной организации Камчатского края «Общество защиты прав потребителей», Уполномоченный при Губернаторе Камчатского края по защите прав предпринимателей, представители политических партий и бизнеса (</w:t>
      </w:r>
      <w:hyperlink r:id="rId7" w:history="1">
        <w:r w:rsidRPr="00A841C8">
          <w:rPr>
            <w:rFonts w:ascii="Times New Roman" w:eastAsia="Times New Roman" w:hAnsi="Times New Roman" w:cs="Times New Roman"/>
            <w:color w:val="8496B0" w:themeColor="text2" w:themeTint="99"/>
            <w:sz w:val="28"/>
            <w:szCs w:val="28"/>
            <w:u w:val="single"/>
            <w:lang w:eastAsia="ru-RU"/>
          </w:rPr>
          <w:t>https://sltarif.kamgov.ru/sovet-potrebitelej-po-voprosam-deatelnosti-subektov-estestvennyh-monopolij-v-kamcatskom-krae/npa-sovet-porteb</w:t>
        </w:r>
      </w:hyperlink>
      <w:r w:rsidRPr="00A841C8">
        <w:rPr>
          <w:rFonts w:ascii="Times New Roman" w:eastAsia="Times New Roman" w:hAnsi="Times New Roman" w:cs="Times New Roman"/>
          <w:sz w:val="28"/>
          <w:szCs w:val="28"/>
          <w:lang w:eastAsia="ru-RU"/>
        </w:rPr>
        <w:t>). Таким образом, при формировании состава Совета соблюден принцип баланса представительства участников.</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lastRenderedPageBreak/>
        <w:t>Целью Совета является:</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доведение до сведения исполнительных органов государственной власти Камчатского края, осуществляющих функции в области государственного регулирования тарифов, и субъектов естественных монополий мнения потребителей;</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и эффективное социально-экономическое развитие Камчатского края; </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подготовка предложений и рекомендаций по совершенствованию государственного регулирования тарифов при утверждении инвестиционных программ субъектов естественных монополий, установление которых в соответствии с нормативными правовыми актами отнесено к компетенции органов исполнительной власти Камчатского края;</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повышение информированности населения края и общественных организаций и содействие в формировании позитивного общественного мнения по вопросам государственного регулирования тарифов при утверждении инвестиционных программ субъектов естественных монополий;</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осуществление общественного контроля тарифного регулирования субъектов естественных монополий.</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2018 году Советом проведено 4 заседания. В целях предотвращения монополизации рынка энергоснабжения рассмотрен вопрос о необходимости и целесообразности создания в Камчатском крае дополнительной ресурсоснабжающей организации.</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Рассмотрен вопрос об участии экспертов в деятельности Совета по вопросам деятельности субъектов естественных монополий в Камчатском края.</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Информация о деятельности Совета размещена для общего сведения в информационно-телекоммуникационной сети «Интернет» (</w:t>
      </w:r>
      <w:hyperlink r:id="rId8" w:history="1">
        <w:r w:rsidRPr="00A841C8">
          <w:rPr>
            <w:rFonts w:ascii="Times New Roman" w:eastAsia="Times New Roman" w:hAnsi="Times New Roman" w:cs="Times New Roman"/>
            <w:color w:val="8496B0" w:themeColor="text2" w:themeTint="99"/>
            <w:sz w:val="28"/>
            <w:szCs w:val="28"/>
            <w:u w:val="single"/>
            <w:lang w:eastAsia="ru-RU"/>
          </w:rPr>
          <w:t>https://www.kamgov.ru/sltarif/sovet-potrebitelej-po-voprosam-deatelnosti-subektov-estestvennyh-monopolij-v-kamcatskom-krae</w:t>
        </w:r>
      </w:hyperlink>
      <w:r w:rsidRPr="00A841C8">
        <w:rPr>
          <w:rFonts w:ascii="Times New Roman" w:eastAsia="Times New Roman" w:hAnsi="Times New Roman" w:cs="Times New Roman"/>
          <w:bCs/>
          <w:sz w:val="28"/>
          <w:szCs w:val="28"/>
          <w:lang w:eastAsia="ru-RU"/>
        </w:rPr>
        <w:t>).</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 xml:space="preserve">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sidRPr="00A841C8">
        <w:rPr>
          <w:rFonts w:ascii="Times New Roman" w:eastAsia="Times New Roman" w:hAnsi="Times New Roman" w:cs="Times New Roman"/>
          <w:bCs/>
          <w:sz w:val="28"/>
          <w:szCs w:val="28"/>
          <w:lang w:eastAsia="ru-RU"/>
        </w:rPr>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связи с этим, утверждение инвестиционных программ для таких крупных монополистов, как ПАО «Камчатскэнерго», АО «ЮЭСК», АО «</w:t>
      </w:r>
      <w:proofErr w:type="spellStart"/>
      <w:r w:rsidRPr="00A841C8">
        <w:rPr>
          <w:rFonts w:ascii="Times New Roman" w:eastAsia="Times New Roman" w:hAnsi="Times New Roman" w:cs="Times New Roman"/>
          <w:bCs/>
          <w:sz w:val="28"/>
          <w:szCs w:val="28"/>
          <w:lang w:eastAsia="ru-RU"/>
        </w:rPr>
        <w:t>Геотерм</w:t>
      </w:r>
      <w:proofErr w:type="spellEnd"/>
      <w:r w:rsidRPr="00A841C8">
        <w:rPr>
          <w:rFonts w:ascii="Times New Roman" w:eastAsia="Times New Roman" w:hAnsi="Times New Roman" w:cs="Times New Roman"/>
          <w:bCs/>
          <w:sz w:val="28"/>
          <w:szCs w:val="28"/>
          <w:lang w:eastAsia="ru-RU"/>
        </w:rPr>
        <w:t>», ПАО «</w:t>
      </w:r>
      <w:proofErr w:type="spellStart"/>
      <w:r w:rsidRPr="00A841C8">
        <w:rPr>
          <w:rFonts w:ascii="Times New Roman" w:eastAsia="Times New Roman" w:hAnsi="Times New Roman" w:cs="Times New Roman"/>
          <w:bCs/>
          <w:sz w:val="28"/>
          <w:szCs w:val="28"/>
          <w:lang w:eastAsia="ru-RU"/>
        </w:rPr>
        <w:t>КамГЭК</w:t>
      </w:r>
      <w:proofErr w:type="spellEnd"/>
      <w:r w:rsidRPr="00A841C8">
        <w:rPr>
          <w:rFonts w:ascii="Times New Roman" w:eastAsia="Times New Roman" w:hAnsi="Times New Roman" w:cs="Times New Roman"/>
          <w:bCs/>
          <w:sz w:val="28"/>
          <w:szCs w:val="28"/>
          <w:lang w:eastAsia="ru-RU"/>
        </w:rPr>
        <w:t>» и АО «</w:t>
      </w:r>
      <w:proofErr w:type="spellStart"/>
      <w:r w:rsidRPr="00A841C8">
        <w:rPr>
          <w:rFonts w:ascii="Times New Roman" w:eastAsia="Times New Roman" w:hAnsi="Times New Roman" w:cs="Times New Roman"/>
          <w:bCs/>
          <w:sz w:val="28"/>
          <w:szCs w:val="28"/>
          <w:lang w:eastAsia="ru-RU"/>
        </w:rPr>
        <w:t>Паужетская</w:t>
      </w:r>
      <w:proofErr w:type="spellEnd"/>
      <w:r w:rsidRPr="00A841C8">
        <w:rPr>
          <w:rFonts w:ascii="Times New Roman" w:eastAsia="Times New Roman" w:hAnsi="Times New Roman" w:cs="Times New Roman"/>
          <w:bCs/>
          <w:sz w:val="28"/>
          <w:szCs w:val="28"/>
          <w:lang w:eastAsia="ru-RU"/>
        </w:rPr>
        <w:t xml:space="preserve"> </w:t>
      </w:r>
      <w:proofErr w:type="spellStart"/>
      <w:r w:rsidRPr="00A841C8">
        <w:rPr>
          <w:rFonts w:ascii="Times New Roman" w:eastAsia="Times New Roman" w:hAnsi="Times New Roman" w:cs="Times New Roman"/>
          <w:bCs/>
          <w:sz w:val="28"/>
          <w:szCs w:val="28"/>
          <w:lang w:eastAsia="ru-RU"/>
        </w:rPr>
        <w:t>ГеоЭС</w:t>
      </w:r>
      <w:proofErr w:type="spellEnd"/>
      <w:r w:rsidRPr="00A841C8">
        <w:rPr>
          <w:rFonts w:ascii="Times New Roman" w:eastAsia="Times New Roman" w:hAnsi="Times New Roman" w:cs="Times New Roman"/>
          <w:bCs/>
          <w:sz w:val="28"/>
          <w:szCs w:val="28"/>
          <w:lang w:eastAsia="ru-RU"/>
        </w:rPr>
        <w:t xml:space="preserve">», осуществляется </w:t>
      </w:r>
      <w:r w:rsidRPr="00A841C8">
        <w:rPr>
          <w:rFonts w:ascii="Times New Roman" w:eastAsia="Times New Roman" w:hAnsi="Times New Roman" w:cs="Times New Roman"/>
          <w:bCs/>
          <w:sz w:val="28"/>
          <w:szCs w:val="28"/>
          <w:lang w:eastAsia="ru-RU"/>
        </w:rPr>
        <w:lastRenderedPageBreak/>
        <w:t>Минэнерго России (</w:t>
      </w:r>
      <w:hyperlink r:id="rId9" w:history="1">
        <w:r w:rsidRPr="00A841C8">
          <w:rPr>
            <w:rFonts w:ascii="Times New Roman" w:eastAsia="Times New Roman" w:hAnsi="Times New Roman" w:cs="Times New Roman"/>
            <w:bCs/>
            <w:color w:val="8496B0" w:themeColor="text2" w:themeTint="99"/>
            <w:sz w:val="28"/>
            <w:szCs w:val="28"/>
            <w:u w:val="single"/>
            <w:lang w:eastAsia="ru-RU"/>
          </w:rPr>
          <w:t>https://minenergo.gov.ru/node/4164</w:t>
        </w:r>
      </w:hyperlink>
      <w:r w:rsidRPr="00A841C8">
        <w:rPr>
          <w:rFonts w:ascii="Times New Roman" w:eastAsia="Times New Roman" w:hAnsi="Times New Roman" w:cs="Times New Roman"/>
          <w:bCs/>
          <w:color w:val="8496B0" w:themeColor="text2" w:themeTint="99"/>
          <w:sz w:val="28"/>
          <w:szCs w:val="28"/>
          <w:lang w:eastAsia="ru-RU"/>
        </w:rPr>
        <w:t xml:space="preserve">; </w:t>
      </w:r>
      <w:hyperlink r:id="rId10" w:history="1">
        <w:r w:rsidRPr="00A841C8">
          <w:rPr>
            <w:rFonts w:ascii="Times New Roman" w:eastAsia="Times New Roman" w:hAnsi="Times New Roman" w:cs="Times New Roman"/>
            <w:bCs/>
            <w:color w:val="8496B0" w:themeColor="text2" w:themeTint="99"/>
            <w:sz w:val="28"/>
            <w:szCs w:val="28"/>
            <w:u w:val="single"/>
            <w:lang w:eastAsia="ru-RU"/>
          </w:rPr>
          <w:t>https://minenergo.gov.ru/node/4212</w:t>
        </w:r>
      </w:hyperlink>
      <w:r w:rsidRPr="00A841C8">
        <w:rPr>
          <w:rFonts w:ascii="Times New Roman" w:eastAsia="Times New Roman" w:hAnsi="Times New Roman" w:cs="Times New Roman"/>
          <w:bCs/>
          <w:color w:val="8496B0" w:themeColor="text2" w:themeTint="99"/>
          <w:sz w:val="28"/>
          <w:szCs w:val="28"/>
          <w:lang w:eastAsia="ru-RU"/>
        </w:rPr>
        <w:t xml:space="preserve">; </w:t>
      </w:r>
      <w:hyperlink r:id="rId11" w:history="1">
        <w:r w:rsidRPr="00A841C8">
          <w:rPr>
            <w:rFonts w:ascii="Times New Roman" w:eastAsia="Times New Roman" w:hAnsi="Times New Roman" w:cs="Times New Roman"/>
            <w:bCs/>
            <w:color w:val="8496B0" w:themeColor="text2" w:themeTint="99"/>
            <w:sz w:val="28"/>
            <w:szCs w:val="28"/>
            <w:u w:val="single"/>
            <w:lang w:eastAsia="ru-RU"/>
          </w:rPr>
          <w:t>https://minenergo.gov.ru/node/4211</w:t>
        </w:r>
      </w:hyperlink>
      <w:r w:rsidRPr="00A841C8">
        <w:rPr>
          <w:rFonts w:ascii="Times New Roman" w:eastAsia="Times New Roman" w:hAnsi="Times New Roman" w:cs="Times New Roman"/>
          <w:bCs/>
          <w:sz w:val="28"/>
          <w:szCs w:val="28"/>
          <w:lang w:eastAsia="ru-RU"/>
        </w:rPr>
        <w:t xml:space="preserve">). </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В рамках деятельности Совета инвестиционные программы субъектов естественных монополий Камчатского края, на утверждение которых уполномочен федеральный орган исполнительной власти, рассмотрены на предмет их согласованности с документами стратегического планирования Камчатского края (</w:t>
      </w:r>
      <w:hyperlink r:id="rId12" w:history="1">
        <w:r w:rsidRPr="00A841C8">
          <w:rPr>
            <w:rFonts w:ascii="Times New Roman" w:eastAsia="Times New Roman" w:hAnsi="Times New Roman" w:cs="Times New Roman"/>
            <w:bCs/>
            <w:color w:val="8496B0" w:themeColor="text2" w:themeTint="99"/>
            <w:sz w:val="28"/>
            <w:szCs w:val="28"/>
            <w:u w:val="single"/>
            <w:lang w:eastAsia="ru-RU"/>
          </w:rPr>
          <w:t>https://www.kamgov.ru/minecon/current_activities/strategiceskoe-planirovanie</w:t>
        </w:r>
      </w:hyperlink>
      <w:r w:rsidRPr="00A841C8">
        <w:rPr>
          <w:rFonts w:ascii="Times New Roman" w:eastAsia="Times New Roman" w:hAnsi="Times New Roman" w:cs="Times New Roman"/>
          <w:bCs/>
          <w:sz w:val="28"/>
          <w:szCs w:val="28"/>
          <w:lang w:eastAsia="ru-RU"/>
        </w:rPr>
        <w:t>).</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bCs/>
          <w:sz w:val="28"/>
          <w:szCs w:val="28"/>
          <w:lang w:eastAsia="ru-RU"/>
        </w:rPr>
        <w:t>Предложения по корректировке утвержденных Региональной службой по тарифам и ценам Камчатского края инвестиционных программ ООО «41 Электрическая сеть» на 2016 – 2018 годы, АО «</w:t>
      </w:r>
      <w:proofErr w:type="spellStart"/>
      <w:r w:rsidRPr="00A841C8">
        <w:rPr>
          <w:rFonts w:ascii="Times New Roman" w:eastAsia="Times New Roman" w:hAnsi="Times New Roman" w:cs="Times New Roman"/>
          <w:bCs/>
          <w:sz w:val="28"/>
          <w:szCs w:val="28"/>
          <w:lang w:eastAsia="ru-RU"/>
        </w:rPr>
        <w:t>Оборонэнерго</w:t>
      </w:r>
      <w:proofErr w:type="spellEnd"/>
      <w:r w:rsidRPr="00A841C8">
        <w:rPr>
          <w:rFonts w:ascii="Times New Roman" w:eastAsia="Times New Roman" w:hAnsi="Times New Roman" w:cs="Times New Roman"/>
          <w:bCs/>
          <w:sz w:val="28"/>
          <w:szCs w:val="28"/>
          <w:lang w:eastAsia="ru-RU"/>
        </w:rPr>
        <w:t>» на 2016 – 2019 годы, АО «Корякэнерго» на 2017 – 2019 годы рассмотрены на заседаниях Экспертного совета при Региональной службе по тарифам и ценам Камчатского края (</w:t>
      </w:r>
      <w:hyperlink r:id="rId13" w:history="1">
        <w:r w:rsidRPr="00A841C8">
          <w:rPr>
            <w:rFonts w:ascii="Times New Roman" w:eastAsia="Times New Roman" w:hAnsi="Times New Roman" w:cs="Times New Roman"/>
            <w:bCs/>
            <w:color w:val="8496B0" w:themeColor="text2" w:themeTint="99"/>
            <w:sz w:val="28"/>
            <w:szCs w:val="28"/>
            <w:u w:val="single"/>
            <w:lang w:eastAsia="ru-RU"/>
          </w:rPr>
          <w:t>https://www.kamgov.ru/sltarif/collegial-body/docs?id=873&amp;page=2</w:t>
        </w:r>
      </w:hyperlink>
      <w:r w:rsidRPr="00A841C8">
        <w:rPr>
          <w:rFonts w:ascii="Times New Roman" w:eastAsia="Times New Roman" w:hAnsi="Times New Roman" w:cs="Times New Roman"/>
          <w:bCs/>
          <w:sz w:val="28"/>
          <w:szCs w:val="28"/>
          <w:lang w:eastAsia="ru-RU"/>
        </w:rPr>
        <w:t>).</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41C8">
        <w:rPr>
          <w:rFonts w:ascii="Times New Roman" w:eastAsia="Times New Roman" w:hAnsi="Times New Roman" w:cs="Times New Roman"/>
          <w:sz w:val="28"/>
          <w:szCs w:val="28"/>
          <w:lang w:eastAsia="ru-RU"/>
        </w:rPr>
        <w:t xml:space="preserve">В силу этого, в 2018 году Совет принял участие в рассмотрении проектов инвестиционных программ, утверждение которых осуществляется </w:t>
      </w:r>
      <w:r w:rsidRPr="00A841C8">
        <w:rPr>
          <w:rFonts w:ascii="Times New Roman" w:eastAsia="Times New Roman" w:hAnsi="Times New Roman" w:cs="Times New Roman"/>
          <w:bCs/>
          <w:sz w:val="28"/>
          <w:szCs w:val="28"/>
          <w:lang w:eastAsia="ru-RU"/>
        </w:rPr>
        <w:t>Региональной службой по тарифам и ценам Камчатского края, на период с 2019 года.</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Так, на рассмотрение Совета были направлены проекты инвестиционных программ в сфере электроэнергетики филиала «Камчатский» АО «</w:t>
      </w:r>
      <w:proofErr w:type="spellStart"/>
      <w:r w:rsidRPr="00A841C8">
        <w:rPr>
          <w:rFonts w:ascii="Times New Roman" w:eastAsia="Times New Roman" w:hAnsi="Times New Roman" w:cs="Times New Roman"/>
          <w:sz w:val="28"/>
          <w:szCs w:val="28"/>
          <w:lang w:eastAsia="ru-RU"/>
        </w:rPr>
        <w:t>Оборонэнерго</w:t>
      </w:r>
      <w:proofErr w:type="spellEnd"/>
      <w:r w:rsidRPr="00A841C8">
        <w:rPr>
          <w:rFonts w:ascii="Times New Roman" w:eastAsia="Times New Roman" w:hAnsi="Times New Roman" w:cs="Times New Roman"/>
          <w:sz w:val="28"/>
          <w:szCs w:val="28"/>
          <w:lang w:eastAsia="ru-RU"/>
        </w:rPr>
        <w:t>» на 2016-2019 годы, ООО «Электрические сети Ивашки» на 2019-2021 годы, ООО «41 Электрическая сеть» на 2019-2021 годы, АО «Камчатские электрические сети им. И.А. Пискунова» на 2018 – 2020 годы, АО «Корякэнерго» на 2018 – 2020 годы, ООО «Интарсия». Большинством голосов принято решение о целесообразности и обоснованности применения мероприятий, предусмотренных проектом инвестиционной программы, оценки достижения заявленных организацией показателей эффективности проекта инвестиционной программы (</w:t>
      </w:r>
      <w:hyperlink r:id="rId14" w:history="1">
        <w:r w:rsidRPr="00A841C8">
          <w:rPr>
            <w:rFonts w:ascii="Times New Roman" w:eastAsia="Times New Roman" w:hAnsi="Times New Roman" w:cs="Times New Roman"/>
            <w:bCs/>
            <w:color w:val="8496B0" w:themeColor="text2" w:themeTint="99"/>
            <w:sz w:val="28"/>
            <w:szCs w:val="28"/>
            <w:u w:val="single"/>
            <w:lang w:eastAsia="ru-RU"/>
          </w:rPr>
          <w:t>https://sltarif.kamgov.ru/sovet-potrebitelej-po-voprosam-deatelnosti-subektov-estestvennyh-monopolij-v-kamcatskom-krae/resenia-po-rezultatam-rassmotrenia-investicionnyh-programm</w:t>
        </w:r>
      </w:hyperlink>
      <w:r w:rsidRPr="00A841C8">
        <w:rPr>
          <w:rFonts w:ascii="Times New Roman" w:eastAsia="Times New Roman" w:hAnsi="Times New Roman" w:cs="Times New Roman"/>
          <w:bCs/>
          <w:sz w:val="28"/>
          <w:szCs w:val="28"/>
          <w:u w:val="single"/>
          <w:lang w:eastAsia="ru-RU"/>
        </w:rPr>
        <w:t>)</w:t>
      </w:r>
      <w:r w:rsidRPr="00A841C8">
        <w:rPr>
          <w:rFonts w:ascii="Times New Roman" w:eastAsia="Times New Roman" w:hAnsi="Times New Roman" w:cs="Times New Roman"/>
          <w:sz w:val="28"/>
          <w:szCs w:val="28"/>
          <w:lang w:eastAsia="ru-RU"/>
        </w:rPr>
        <w:t xml:space="preserve">. </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Благодаря активной позиции Совета, его взаимодействию с </w:t>
      </w:r>
      <w:r w:rsidRPr="00A841C8">
        <w:rPr>
          <w:rFonts w:ascii="Times New Roman" w:eastAsia="Times New Roman" w:hAnsi="Times New Roman" w:cs="Times New Roman"/>
          <w:bCs/>
          <w:sz w:val="28"/>
          <w:szCs w:val="28"/>
          <w:lang w:eastAsia="ru-RU"/>
        </w:rPr>
        <w:t>Экспертным советом при Региональной службе по тарифам и ценам Камчатского края, Службой</w:t>
      </w:r>
      <w:r w:rsidRPr="00A841C8">
        <w:rPr>
          <w:rFonts w:ascii="Times New Roman" w:eastAsia="Times New Roman" w:hAnsi="Times New Roman" w:cs="Times New Roman"/>
          <w:sz w:val="28"/>
          <w:szCs w:val="28"/>
          <w:lang w:eastAsia="ru-RU"/>
        </w:rPr>
        <w:t xml:space="preserve"> проведен ряд мероприятий по оптимизации расходов ресурсоснабжающих организаций с целью сдерживания роста экономически обоснованных тарифов на коммунальные услуги.</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В процессе оптимизации расходов субъектов естественных монополий Камчатского края, увеличено финансирование производственных программ предприятий в части эксплуатации и ремонтов оборудования, поставок топлива и инвестиционной деятельности по модернизации производственных мощностей.</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Учитывая показатели, достигнутые при формировании экономически обоснованных тарифов на 2018 год, Правительством Камчатского края </w:t>
      </w:r>
      <w:r w:rsidRPr="00A841C8">
        <w:rPr>
          <w:rFonts w:ascii="Times New Roman" w:eastAsia="Times New Roman" w:hAnsi="Times New Roman" w:cs="Times New Roman"/>
          <w:sz w:val="28"/>
          <w:szCs w:val="28"/>
          <w:lang w:eastAsia="ru-RU"/>
        </w:rPr>
        <w:lastRenderedPageBreak/>
        <w:t xml:space="preserve">планируется </w:t>
      </w:r>
      <w:r w:rsidRPr="00A841C8">
        <w:rPr>
          <w:rFonts w:ascii="Times New Roman" w:eastAsia="Times New Roman" w:hAnsi="Times New Roman" w:cs="Times New Roman"/>
          <w:bCs/>
          <w:sz w:val="28"/>
          <w:szCs w:val="28"/>
          <w:lang w:eastAsia="ru-RU"/>
        </w:rPr>
        <w:t>сохранение тенденции сдерживания роста</w:t>
      </w:r>
      <w:r w:rsidRPr="00A841C8">
        <w:rPr>
          <w:rFonts w:ascii="Times New Roman" w:eastAsia="Times New Roman" w:hAnsi="Times New Roman" w:cs="Times New Roman"/>
          <w:sz w:val="28"/>
          <w:szCs w:val="28"/>
          <w:lang w:eastAsia="ru-RU"/>
        </w:rPr>
        <w:t xml:space="preserve"> тарифов на электроэнергию по всему Камчатскому краю на 2019 год.</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По тарифам на отопление и ГВС Правительством края в целях выравнивания условий оплаты коммунальных ресурсов принято решение о пересмотре с 01 января 2018 года льготных тарифов для населения на отопление и ГВС по ряду муниципальных образований, ограничив их величиной не более 4400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 xml:space="preserve">/Гкал, с 01 июля 2018 года льготных тарифов для населения на отопление и ГВС по ряду муниципальных образований, ограничив их величиной не более 4250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/Гкал.</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Решениями Службы на 2019 год сохранены тенденции сдерживания роста тарифов на коммунальные услуги для населения на территории Камчатского края.</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Уровень тарифов на электроэнергию для потребителей на 2019 год решениями Службы принят в следующих размерах:</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«население» - 4,68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w:t>
      </w:r>
      <w:proofErr w:type="spellStart"/>
      <w:r w:rsidRPr="00A841C8">
        <w:rPr>
          <w:rFonts w:ascii="Times New Roman" w:eastAsia="Times New Roman" w:hAnsi="Times New Roman" w:cs="Times New Roman"/>
          <w:sz w:val="28"/>
          <w:szCs w:val="28"/>
          <w:lang w:eastAsia="ru-RU"/>
        </w:rPr>
        <w:t>кВтч</w:t>
      </w:r>
      <w:proofErr w:type="spellEnd"/>
      <w:r w:rsidRPr="00A841C8">
        <w:rPr>
          <w:rFonts w:ascii="Times New Roman" w:eastAsia="Times New Roman" w:hAnsi="Times New Roman" w:cs="Times New Roman"/>
          <w:sz w:val="28"/>
          <w:szCs w:val="28"/>
          <w:lang w:eastAsia="ru-RU"/>
        </w:rPr>
        <w:t xml:space="preserve"> (с НДС), - на уровне действующих в текущем году без их роста;</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«прочие потребители» - в среднегодовом исчислении 4,69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w:t>
      </w:r>
      <w:proofErr w:type="spellStart"/>
      <w:r w:rsidRPr="00A841C8">
        <w:rPr>
          <w:rFonts w:ascii="Times New Roman" w:eastAsia="Times New Roman" w:hAnsi="Times New Roman" w:cs="Times New Roman"/>
          <w:sz w:val="28"/>
          <w:szCs w:val="28"/>
          <w:lang w:eastAsia="ru-RU"/>
        </w:rPr>
        <w:t>кВтч</w:t>
      </w:r>
      <w:proofErr w:type="spellEnd"/>
      <w:r w:rsidRPr="00A841C8">
        <w:rPr>
          <w:rFonts w:ascii="Times New Roman" w:eastAsia="Times New Roman" w:hAnsi="Times New Roman" w:cs="Times New Roman"/>
          <w:sz w:val="28"/>
          <w:szCs w:val="28"/>
          <w:lang w:eastAsia="ru-RU"/>
        </w:rPr>
        <w:t xml:space="preserve"> (без НДС), - на уровне, утвержденном постановлением Правительства России с ростом на 9,0% к уровню 2018 года.</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Учитывая, что льготные тарифы на отопление для населения дифференцированы по размеру в разрезе муниципальных образований Камчатского края, решениями Службы их предельный уровень ограничен следующими размерами:</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с 1 января 2019 года в размере 4 250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/Гкал (с НДС);</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 с 1 июля 2019 года в размере 3 900 </w:t>
      </w:r>
      <w:proofErr w:type="spellStart"/>
      <w:r w:rsidRPr="00A841C8">
        <w:rPr>
          <w:rFonts w:ascii="Times New Roman" w:eastAsia="Times New Roman" w:hAnsi="Times New Roman" w:cs="Times New Roman"/>
          <w:sz w:val="28"/>
          <w:szCs w:val="28"/>
          <w:lang w:eastAsia="ru-RU"/>
        </w:rPr>
        <w:t>руб</w:t>
      </w:r>
      <w:proofErr w:type="spellEnd"/>
      <w:r w:rsidRPr="00A841C8">
        <w:rPr>
          <w:rFonts w:ascii="Times New Roman" w:eastAsia="Times New Roman" w:hAnsi="Times New Roman" w:cs="Times New Roman"/>
          <w:sz w:val="28"/>
          <w:szCs w:val="28"/>
          <w:lang w:eastAsia="ru-RU"/>
        </w:rPr>
        <w:t>/Гкал (с НДС) – снижение тарифов на 8,2%.</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При реализации данного сценария, снижение тарифов на отопление затронет большинство муниципальных образований Камчатского края.</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Динамика изменения тарифов на горячее водоснабжение синхронизирована с динамикой тарифов на отопление.</w:t>
      </w:r>
    </w:p>
    <w:p w:rsidR="003F7C62" w:rsidRPr="00A841C8" w:rsidRDefault="003F7C62" w:rsidP="003F7C62">
      <w:pPr>
        <w:tabs>
          <w:tab w:val="center" w:pos="5173"/>
          <w:tab w:val="left" w:pos="7810"/>
          <w:tab w:val="right" w:pos="9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C8">
        <w:rPr>
          <w:rFonts w:ascii="Times New Roman" w:eastAsia="Times New Roman" w:hAnsi="Times New Roman" w:cs="Times New Roman"/>
          <w:sz w:val="28"/>
          <w:szCs w:val="28"/>
          <w:lang w:eastAsia="ru-RU"/>
        </w:rPr>
        <w:t xml:space="preserve">Протоколы заседаний Совета размещены в открытом доступе на официальном сайте исполнительных органов государственной власти Камчатского края на странице </w:t>
      </w:r>
      <w:r w:rsidRPr="00A841C8">
        <w:rPr>
          <w:rFonts w:ascii="Times New Roman" w:eastAsia="Times New Roman" w:hAnsi="Times New Roman" w:cs="Times New Roman"/>
          <w:bCs/>
          <w:sz w:val="28"/>
          <w:szCs w:val="28"/>
          <w:lang w:eastAsia="ru-RU"/>
        </w:rPr>
        <w:t>Региональной службы по тарифам и ценам Камчатского края</w:t>
      </w:r>
      <w:r w:rsidRPr="00A841C8">
        <w:rPr>
          <w:rFonts w:ascii="Times New Roman" w:eastAsia="Times New Roman" w:hAnsi="Times New Roman" w:cs="Times New Roman"/>
          <w:sz w:val="28"/>
          <w:szCs w:val="28"/>
          <w:lang w:eastAsia="ru-RU"/>
        </w:rPr>
        <w:t xml:space="preserve"> в сети «Интернет» (</w:t>
      </w:r>
      <w:hyperlink r:id="rId15" w:history="1">
        <w:r w:rsidRPr="00A841C8">
          <w:rPr>
            <w:rFonts w:ascii="Times New Roman" w:eastAsia="Times New Roman" w:hAnsi="Times New Roman" w:cs="Times New Roman"/>
            <w:color w:val="8496B0" w:themeColor="text2" w:themeTint="99"/>
            <w:sz w:val="28"/>
            <w:szCs w:val="28"/>
            <w:u w:val="single"/>
            <w:lang w:eastAsia="ru-RU"/>
          </w:rPr>
          <w:t>https://sltarif.kamgov.ru/zasedania-soveta</w:t>
        </w:r>
      </w:hyperlink>
      <w:r w:rsidRPr="00A841C8">
        <w:rPr>
          <w:rFonts w:ascii="Times New Roman" w:eastAsia="Times New Roman" w:hAnsi="Times New Roman" w:cs="Times New Roman"/>
          <w:sz w:val="28"/>
          <w:szCs w:val="28"/>
          <w:lang w:eastAsia="ru-RU"/>
        </w:rPr>
        <w:t>).</w:t>
      </w:r>
    </w:p>
    <w:p w:rsidR="005E4B64" w:rsidRPr="00F945D2" w:rsidRDefault="005E4B64" w:rsidP="005E4B64">
      <w:pPr>
        <w:spacing w:after="0" w:line="240" w:lineRule="auto"/>
        <w:ind w:firstLine="851"/>
        <w:jc w:val="both"/>
        <w:rPr>
          <w:rFonts w:ascii="Times New Roman" w:eastAsia="Times New Roman" w:hAnsi="Times New Roman" w:cs="Times New Roman"/>
          <w:sz w:val="28"/>
          <w:szCs w:val="28"/>
          <w:highlight w:val="yellow"/>
          <w:lang w:eastAsia="ru-RU"/>
        </w:rPr>
      </w:pPr>
    </w:p>
    <w:sectPr w:rsidR="005E4B64" w:rsidRPr="00F9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99"/>
    <w:multiLevelType w:val="hybridMultilevel"/>
    <w:tmpl w:val="F446D0D8"/>
    <w:lvl w:ilvl="0" w:tplc="FDEC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423DA9"/>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C5531B"/>
    <w:multiLevelType w:val="hybridMultilevel"/>
    <w:tmpl w:val="FC36530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4A5C21"/>
    <w:multiLevelType w:val="hybridMultilevel"/>
    <w:tmpl w:val="4FC0EFEE"/>
    <w:lvl w:ilvl="0" w:tplc="0000000E">
      <w:numFmt w:val="bullet"/>
      <w:lvlText w:val="-"/>
      <w:lvlJc w:val="left"/>
      <w:pPr>
        <w:ind w:left="1460" w:hanging="360"/>
      </w:pPr>
      <w:rPr>
        <w:rFonts w:ascii="Times New Roman" w:hAnsi="Times New Roman" w:cs="OpenSymbol"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5B36640A"/>
    <w:multiLevelType w:val="hybridMultilevel"/>
    <w:tmpl w:val="52028300"/>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64"/>
    <w:rsid w:val="001C554A"/>
    <w:rsid w:val="003F7C62"/>
    <w:rsid w:val="005E4B64"/>
    <w:rsid w:val="00E64EB9"/>
    <w:rsid w:val="00F0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64"/>
    <w:pPr>
      <w:spacing w:after="200" w:line="276" w:lineRule="auto"/>
    </w:pPr>
  </w:style>
  <w:style w:type="paragraph" w:styleId="2">
    <w:name w:val="heading 2"/>
    <w:basedOn w:val="a"/>
    <w:next w:val="a"/>
    <w:link w:val="20"/>
    <w:uiPriority w:val="99"/>
    <w:unhideWhenUsed/>
    <w:qFormat/>
    <w:rsid w:val="005E4B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5E4B6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E4B6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5E4B64"/>
    <w:rPr>
      <w:rFonts w:asciiTheme="majorHAnsi" w:eastAsiaTheme="majorEastAsia" w:hAnsiTheme="majorHAnsi" w:cstheme="majorBidi"/>
      <w:b/>
      <w:bCs/>
      <w:color w:val="5B9BD5" w:themeColor="accent1"/>
    </w:rPr>
  </w:style>
  <w:style w:type="paragraph" w:styleId="a3">
    <w:name w:val="List Paragraph"/>
    <w:aliases w:val="список 1,Нумерация"/>
    <w:basedOn w:val="a"/>
    <w:link w:val="a4"/>
    <w:uiPriority w:val="99"/>
    <w:qFormat/>
    <w:rsid w:val="005E4B64"/>
    <w:pPr>
      <w:ind w:left="720"/>
      <w:contextualSpacing/>
    </w:pPr>
    <w:rPr>
      <w:rFonts w:eastAsiaTheme="minorEastAsia"/>
      <w:lang w:eastAsia="ru-RU"/>
    </w:rPr>
  </w:style>
  <w:style w:type="character" w:styleId="a5">
    <w:name w:val="Hyperlink"/>
    <w:uiPriority w:val="99"/>
    <w:unhideWhenUsed/>
    <w:rsid w:val="005E4B64"/>
    <w:rPr>
      <w:color w:val="0563C1"/>
      <w:u w:val="single"/>
    </w:rPr>
  </w:style>
  <w:style w:type="character" w:customStyle="1" w:styleId="a6">
    <w:name w:val="Основной текст_"/>
    <w:basedOn w:val="a0"/>
    <w:link w:val="1"/>
    <w:rsid w:val="005E4B64"/>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6"/>
    <w:rsid w:val="005E4B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6"/>
    <w:rsid w:val="005E4B6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
    <w:name w:val="Основной текст1"/>
    <w:basedOn w:val="a"/>
    <w:link w:val="a6"/>
    <w:rsid w:val="005E4B64"/>
    <w:pPr>
      <w:widowControl w:val="0"/>
      <w:shd w:val="clear" w:color="auto" w:fill="FFFFFF"/>
      <w:spacing w:after="240" w:line="324" w:lineRule="exact"/>
    </w:pPr>
    <w:rPr>
      <w:rFonts w:ascii="Times New Roman" w:eastAsia="Times New Roman" w:hAnsi="Times New Roman" w:cs="Times New Roman"/>
      <w:sz w:val="26"/>
      <w:szCs w:val="26"/>
    </w:rPr>
  </w:style>
  <w:style w:type="character" w:customStyle="1" w:styleId="a4">
    <w:name w:val="Абзац списка Знак"/>
    <w:aliases w:val="список 1 Знак,Нумерация Знак"/>
    <w:basedOn w:val="a0"/>
    <w:link w:val="a3"/>
    <w:uiPriority w:val="99"/>
    <w:locked/>
    <w:rsid w:val="005E4B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64"/>
    <w:pPr>
      <w:spacing w:after="200" w:line="276" w:lineRule="auto"/>
    </w:pPr>
  </w:style>
  <w:style w:type="paragraph" w:styleId="2">
    <w:name w:val="heading 2"/>
    <w:basedOn w:val="a"/>
    <w:next w:val="a"/>
    <w:link w:val="20"/>
    <w:uiPriority w:val="99"/>
    <w:unhideWhenUsed/>
    <w:qFormat/>
    <w:rsid w:val="005E4B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5E4B6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E4B6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5E4B64"/>
    <w:rPr>
      <w:rFonts w:asciiTheme="majorHAnsi" w:eastAsiaTheme="majorEastAsia" w:hAnsiTheme="majorHAnsi" w:cstheme="majorBidi"/>
      <w:b/>
      <w:bCs/>
      <w:color w:val="5B9BD5" w:themeColor="accent1"/>
    </w:rPr>
  </w:style>
  <w:style w:type="paragraph" w:styleId="a3">
    <w:name w:val="List Paragraph"/>
    <w:aliases w:val="список 1,Нумерация"/>
    <w:basedOn w:val="a"/>
    <w:link w:val="a4"/>
    <w:uiPriority w:val="99"/>
    <w:qFormat/>
    <w:rsid w:val="005E4B64"/>
    <w:pPr>
      <w:ind w:left="720"/>
      <w:contextualSpacing/>
    </w:pPr>
    <w:rPr>
      <w:rFonts w:eastAsiaTheme="minorEastAsia"/>
      <w:lang w:eastAsia="ru-RU"/>
    </w:rPr>
  </w:style>
  <w:style w:type="character" w:styleId="a5">
    <w:name w:val="Hyperlink"/>
    <w:uiPriority w:val="99"/>
    <w:unhideWhenUsed/>
    <w:rsid w:val="005E4B64"/>
    <w:rPr>
      <w:color w:val="0563C1"/>
      <w:u w:val="single"/>
    </w:rPr>
  </w:style>
  <w:style w:type="character" w:customStyle="1" w:styleId="a6">
    <w:name w:val="Основной текст_"/>
    <w:basedOn w:val="a0"/>
    <w:link w:val="1"/>
    <w:rsid w:val="005E4B64"/>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6"/>
    <w:rsid w:val="005E4B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6"/>
    <w:rsid w:val="005E4B6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
    <w:name w:val="Основной текст1"/>
    <w:basedOn w:val="a"/>
    <w:link w:val="a6"/>
    <w:rsid w:val="005E4B64"/>
    <w:pPr>
      <w:widowControl w:val="0"/>
      <w:shd w:val="clear" w:color="auto" w:fill="FFFFFF"/>
      <w:spacing w:after="240" w:line="324" w:lineRule="exact"/>
    </w:pPr>
    <w:rPr>
      <w:rFonts w:ascii="Times New Roman" w:eastAsia="Times New Roman" w:hAnsi="Times New Roman" w:cs="Times New Roman"/>
      <w:sz w:val="26"/>
      <w:szCs w:val="26"/>
    </w:rPr>
  </w:style>
  <w:style w:type="character" w:customStyle="1" w:styleId="a4">
    <w:name w:val="Абзац списка Знак"/>
    <w:aliases w:val="список 1 Знак,Нумерация Знак"/>
    <w:basedOn w:val="a0"/>
    <w:link w:val="a3"/>
    <w:uiPriority w:val="99"/>
    <w:locked/>
    <w:rsid w:val="005E4B6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sltarif/sovet-potrebitelej-po-voprosam-deatelnosti-subektov-estestvennyh-monopolij-v-kamcatskom-krae" TargetMode="External"/><Relationship Id="rId13" Type="http://schemas.openxmlformats.org/officeDocument/2006/relationships/hyperlink" Target="https://www.kamgov.ru/sltarif/collegial-body/docs?id=873&amp;page=2" TargetMode="External"/><Relationship Id="rId3" Type="http://schemas.microsoft.com/office/2007/relationships/stylesWithEffects" Target="stylesWithEffects.xml"/><Relationship Id="rId7" Type="http://schemas.openxmlformats.org/officeDocument/2006/relationships/hyperlink" Target="https://sltarif.kamgov.ru/sovet-potrebitelej-po-voprosam-deatelnosti-subektov-estestvennyh-monopolij-v-kamcatskom-krae/npa-sovet-porteb" TargetMode="External"/><Relationship Id="rId12" Type="http://schemas.openxmlformats.org/officeDocument/2006/relationships/hyperlink" Target="https://www.kamgov.ru/minecon/current_activities/strategiceskoe-planirova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ltarif.kamgov.ru/sovet-potrebitelej-po-voprosam-deatelnosti-subektov-estestvennyh-monopolij-v-kamcatskom-krae/npa-sovet-porteb" TargetMode="External"/><Relationship Id="rId11" Type="http://schemas.openxmlformats.org/officeDocument/2006/relationships/hyperlink" Target="https://minenergo.gov.ru/node/4211" TargetMode="External"/><Relationship Id="rId5" Type="http://schemas.openxmlformats.org/officeDocument/2006/relationships/webSettings" Target="webSettings.xml"/><Relationship Id="rId15" Type="http://schemas.openxmlformats.org/officeDocument/2006/relationships/hyperlink" Target="https://sltarif.kamgov.ru/zasedania-soveta" TargetMode="External"/><Relationship Id="rId10" Type="http://schemas.openxmlformats.org/officeDocument/2006/relationships/hyperlink" Target="https://minenergo.gov.ru/node/4212" TargetMode="External"/><Relationship Id="rId4" Type="http://schemas.openxmlformats.org/officeDocument/2006/relationships/settings" Target="settings.xml"/><Relationship Id="rId9" Type="http://schemas.openxmlformats.org/officeDocument/2006/relationships/hyperlink" Target="https://minenergo.gov.ru/node/4164" TargetMode="External"/><Relationship Id="rId14" Type="http://schemas.openxmlformats.org/officeDocument/2006/relationships/hyperlink" Target="https://sltarif.kamgov.ru/sovet-potrebitelej-po-voprosam-deatelnosti-subektov-estestvennyh-monopolij-v-kamcatskom-krae/resenia-po-rezultatam-rassmotrenia-investicionnyh-progra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9255</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Салимьянова Елена Владимировна</dc:creator>
  <cp:lastModifiedBy>Ковалевская Галина Викторовна</cp:lastModifiedBy>
  <cp:revision>2</cp:revision>
  <dcterms:created xsi:type="dcterms:W3CDTF">2019-09-27T03:13:00Z</dcterms:created>
  <dcterms:modified xsi:type="dcterms:W3CDTF">2019-09-27T03:13:00Z</dcterms:modified>
</cp:coreProperties>
</file>