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303F91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EF3701" w:rsidRPr="00C42997" w:rsidRDefault="00EF3701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556"/>
        <w:gridCol w:w="709"/>
      </w:tblGrid>
      <w:tr w:rsidR="001B1CB7" w:rsidTr="00303F91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Default="001B1CB7" w:rsidP="00EF3701">
            <w:pPr>
              <w:jc w:val="both"/>
            </w:pPr>
          </w:p>
        </w:tc>
        <w:tc>
          <w:tcPr>
            <w:tcW w:w="426" w:type="dxa"/>
          </w:tcPr>
          <w:p w:rsidR="001B1CB7" w:rsidRDefault="001B1CB7" w:rsidP="00EF3701">
            <w:pPr>
              <w:jc w:val="both"/>
            </w:pPr>
            <w:r>
              <w:t>№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EF3701" w:rsidRPr="00ED3C41" w:rsidRDefault="00303F91" w:rsidP="00BA7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63500</wp:posOffset>
                </wp:positionV>
                <wp:extent cx="3114675" cy="14097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0C" w:rsidRPr="00F47230" w:rsidRDefault="00D6260C" w:rsidP="00F4723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7230">
                              <w:rPr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303F91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F47230">
                              <w:rPr>
                                <w:sz w:val="28"/>
                                <w:szCs w:val="28"/>
                              </w:rPr>
                              <w:t xml:space="preserve"> в приложение к постановлению Правительства Камчатского края от </w:t>
                            </w:r>
                            <w:r w:rsidR="00F0607A">
                              <w:rPr>
                                <w:sz w:val="28"/>
                                <w:szCs w:val="28"/>
                              </w:rPr>
                              <w:t>19.12.2008</w:t>
                            </w:r>
                            <w:r w:rsidRPr="00F47230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F0607A">
                              <w:rPr>
                                <w:sz w:val="28"/>
                                <w:szCs w:val="28"/>
                              </w:rPr>
                              <w:t>424</w:t>
                            </w:r>
                            <w:r w:rsidRPr="00F47230">
                              <w:rPr>
                                <w:sz w:val="28"/>
                                <w:szCs w:val="28"/>
                              </w:rPr>
                              <w:t>-П «</w:t>
                            </w:r>
                            <w:r w:rsidR="00F0607A" w:rsidRPr="00F0607A">
                              <w:rPr>
                                <w:sz w:val="28"/>
                                <w:szCs w:val="28"/>
                              </w:rPr>
                              <w:t>Об утверждении Положения о Региональной службе по т</w:t>
                            </w:r>
                            <w:r w:rsidR="00F0607A">
                              <w:rPr>
                                <w:sz w:val="28"/>
                                <w:szCs w:val="28"/>
                              </w:rPr>
                              <w:t>арифам и ценам Камчатского края</w:t>
                            </w:r>
                            <w:r w:rsidR="00F47230" w:rsidRPr="00F4723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5pt;width:245.2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AoJwIAAFEEAAAOAAAAZHJzL2Uyb0RvYy54bWysVNtu2zAMfR+wfxD0vviypG2MOEWXLsOA&#10;7gK0+wBZlmNhkqhJSuzs60fJaRZ0b8X8IIgidUSeQ3p1O2pFDsJ5CaamxSynRBgOrTS7mv542r67&#10;ocQHZlqmwIiaHoWnt+u3b1aDrUQJPahWOIIgxleDrWkfgq2yzPNeaOZnYIVBZwdOs4Cm22WtYwOi&#10;a5WVeX6VDeBa64AL7/H0fnLSdcLvOsHDt67zIhBVU8wtpNWltYlrtl6xaueY7SU/pcFekYVm0uCj&#10;Z6h7FhjZO/kPlJbcgYcuzDjoDLpOcpFqwGqK/EU1jz2zItWC5Hh7psn/P1j+9fDdEdnWtKTEMI0S&#10;PYkxkA8wkjKyM1hfYdCjxbAw4jGqnCr19gH4T08MbHpmduLOORh6wVrMrog3s4urE46PIM3wBVp8&#10;hu0DJKCxczpSh2QQREeVjmdlYiocD98XxfzqekEJR18xz5fXedIuY9Xzdet8+CRAk7ipqUPpEzw7&#10;PPgQ02HVc0h8zYOS7VYqlQy3azbKkQPDNtmmL1XwIkwZMtR0uSgXEwOvgNAyYL8rqWt6k8dv6sDI&#10;20fTpm4MTKppjykrcyIycjexGMZmPAnTQHtESh1MfY1ziJse3G9KBuzpmvpfe+YEJeqzQVmWxXwe&#10;hyAZ88V1iYa79DSXHmY4QtU0UDJtN2EanL11ctfjS1MjGLhDKTuZSI6aT1md8sa+TdyfZiwOxqWd&#10;ov7+CdZ/AAAA//8DAFBLAwQUAAYACAAAACEA/0PCrt8AAAAKAQAADwAAAGRycy9kb3ducmV2Lnht&#10;bEyPy07DMBBF90j8gzVIbFBrx6A+QpyqqkCsW9iwc5NpEhGPk9htUr6eYQXL0T26c262mVwrLjiE&#10;xpOBZK5AIBW+bKgy8PH+OluBCNFSaVtPaOCKATb57U1m09KPtMfLIVaCSyik1kAdY5dKGYoanQ1z&#10;3yFxdvKDs5HPoZLlYEcud63USi2ksw3xh9p2uKux+DqcnQE/vlydx17ph89v97bb9vuT7o25v5u2&#10;zyAiTvEPhl99VoecnY7+TGUQrYFZslowyoHiTQw8LZM1iKMB/agVyDyT/yfkPwAAAP//AwBQSwEC&#10;LQAUAAYACAAAACEAtoM4kv4AAADhAQAAEwAAAAAAAAAAAAAAAAAAAAAAW0NvbnRlbnRfVHlwZXNd&#10;LnhtbFBLAQItABQABgAIAAAAIQA4/SH/1gAAAJQBAAALAAAAAAAAAAAAAAAAAC8BAABfcmVscy8u&#10;cmVsc1BLAQItABQABgAIAAAAIQB/chAoJwIAAFEEAAAOAAAAAAAAAAAAAAAAAC4CAABkcnMvZTJv&#10;RG9jLnhtbFBLAQItABQABgAIAAAAIQD/Q8Ku3wAAAAoBAAAPAAAAAAAAAAAAAAAAAIEEAABkcnMv&#10;ZG93bnJldi54bWxQSwUGAAAAAAQABADzAAAAjQUAAAAA&#10;" strokecolor="white">
                <v:textbox>
                  <w:txbxContent>
                    <w:p w:rsidR="00D6260C" w:rsidRPr="00F47230" w:rsidRDefault="00D6260C" w:rsidP="00F4723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47230">
                        <w:rPr>
                          <w:sz w:val="28"/>
                          <w:szCs w:val="28"/>
                        </w:rPr>
                        <w:t>О внесении изменени</w:t>
                      </w:r>
                      <w:r w:rsidR="00303F91">
                        <w:rPr>
                          <w:sz w:val="28"/>
                          <w:szCs w:val="28"/>
                        </w:rPr>
                        <w:t>я</w:t>
                      </w:r>
                      <w:r w:rsidRPr="00F47230">
                        <w:rPr>
                          <w:sz w:val="28"/>
                          <w:szCs w:val="28"/>
                        </w:rPr>
                        <w:t xml:space="preserve"> в приложение к постановлению Правительства Камчатского края от </w:t>
                      </w:r>
                      <w:r w:rsidR="00F0607A">
                        <w:rPr>
                          <w:sz w:val="28"/>
                          <w:szCs w:val="28"/>
                        </w:rPr>
                        <w:t>19.12.2008</w:t>
                      </w:r>
                      <w:r w:rsidRPr="00F47230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F0607A">
                        <w:rPr>
                          <w:sz w:val="28"/>
                          <w:szCs w:val="28"/>
                        </w:rPr>
                        <w:t>424</w:t>
                      </w:r>
                      <w:r w:rsidRPr="00F47230">
                        <w:rPr>
                          <w:sz w:val="28"/>
                          <w:szCs w:val="28"/>
                        </w:rPr>
                        <w:t>-П «</w:t>
                      </w:r>
                      <w:r w:rsidR="00F0607A" w:rsidRPr="00F0607A">
                        <w:rPr>
                          <w:sz w:val="28"/>
                          <w:szCs w:val="28"/>
                        </w:rPr>
                        <w:t>Об утверждении Положения о Региональной службе по т</w:t>
                      </w:r>
                      <w:r w:rsidR="00F0607A">
                        <w:rPr>
                          <w:sz w:val="28"/>
                          <w:szCs w:val="28"/>
                        </w:rPr>
                        <w:t>арифам и ценам Камчатского края</w:t>
                      </w:r>
                      <w:r w:rsidR="00F47230" w:rsidRPr="00F47230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A752B" w:rsidRPr="00ED3C41" w:rsidRDefault="00BA752B" w:rsidP="00BA752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D6260C" w:rsidP="00F0607A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F47230" w:rsidP="00303F91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ПОСТАНОВЛЯЕТ:</w:t>
      </w:r>
    </w:p>
    <w:p w:rsidR="00F47230" w:rsidRDefault="00F47230" w:rsidP="00303F91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F47230" w:rsidRDefault="00F47230" w:rsidP="00303F91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</w:t>
      </w:r>
      <w:r w:rsidR="00B1412A">
        <w:rPr>
          <w:bCs/>
          <w:sz w:val="28"/>
          <w:szCs w:val="28"/>
        </w:rPr>
        <w:t>в</w:t>
      </w:r>
      <w:r w:rsidR="00C27A87">
        <w:rPr>
          <w:bCs/>
          <w:sz w:val="28"/>
          <w:szCs w:val="28"/>
        </w:rPr>
        <w:t xml:space="preserve"> </w:t>
      </w:r>
      <w:r w:rsidR="00B1412A">
        <w:rPr>
          <w:bCs/>
          <w:sz w:val="28"/>
          <w:szCs w:val="28"/>
        </w:rPr>
        <w:t>раздел 2</w:t>
      </w:r>
      <w:r w:rsidR="00303F91">
        <w:rPr>
          <w:bCs/>
          <w:sz w:val="28"/>
          <w:szCs w:val="28"/>
        </w:rPr>
        <w:t xml:space="preserve"> приложения к </w:t>
      </w:r>
      <w:r>
        <w:rPr>
          <w:bCs/>
          <w:sz w:val="28"/>
          <w:szCs w:val="28"/>
        </w:rPr>
        <w:t xml:space="preserve">постановлению Правительства Камчатского края </w:t>
      </w:r>
      <w:r w:rsidR="00F0607A" w:rsidRPr="00F0607A">
        <w:rPr>
          <w:bCs/>
          <w:sz w:val="28"/>
          <w:szCs w:val="28"/>
        </w:rPr>
        <w:t>от 19.12.2008 № 424-П «Об утверждении Положения о Региональной службе по тарифам и ценам Камчатского края»</w:t>
      </w:r>
      <w:r>
        <w:rPr>
          <w:sz w:val="28"/>
          <w:szCs w:val="28"/>
        </w:rPr>
        <w:t xml:space="preserve"> </w:t>
      </w:r>
      <w:r w:rsidR="00B1412A">
        <w:rPr>
          <w:sz w:val="28"/>
          <w:szCs w:val="28"/>
        </w:rPr>
        <w:t>следующие изменения</w:t>
      </w:r>
      <w:r w:rsidR="00303F91">
        <w:rPr>
          <w:sz w:val="28"/>
          <w:szCs w:val="28"/>
        </w:rPr>
        <w:t>:</w:t>
      </w:r>
    </w:p>
    <w:p w:rsidR="00F3608D" w:rsidRDefault="00B1412A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00F67">
        <w:rPr>
          <w:sz w:val="28"/>
          <w:szCs w:val="28"/>
        </w:rPr>
        <w:t>в части 2.1:</w:t>
      </w:r>
    </w:p>
    <w:p w:rsidR="00303F91" w:rsidRDefault="00F3608D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27A87">
        <w:rPr>
          <w:sz w:val="28"/>
          <w:szCs w:val="28"/>
        </w:rPr>
        <w:t>а</w:t>
      </w:r>
      <w:r w:rsidR="00B1412A">
        <w:rPr>
          <w:sz w:val="28"/>
          <w:szCs w:val="28"/>
        </w:rPr>
        <w:t>бзац первый пунк</w:t>
      </w:r>
      <w:r w:rsidR="0025019C">
        <w:rPr>
          <w:sz w:val="28"/>
          <w:szCs w:val="28"/>
        </w:rPr>
        <w:t>т</w:t>
      </w:r>
      <w:r w:rsidR="00B1412A">
        <w:rPr>
          <w:sz w:val="28"/>
          <w:szCs w:val="28"/>
        </w:rPr>
        <w:t>а</w:t>
      </w:r>
      <w:r w:rsidR="0025019C">
        <w:rPr>
          <w:sz w:val="28"/>
          <w:szCs w:val="28"/>
        </w:rPr>
        <w:t xml:space="preserve"> 2 после слова «энергию» дополнить словами «(за исключением ценовых зон теплоснабжения»;</w:t>
      </w:r>
    </w:p>
    <w:p w:rsidR="00C27A87" w:rsidRDefault="00F3608D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27A87">
        <w:rPr>
          <w:sz w:val="28"/>
          <w:szCs w:val="28"/>
        </w:rPr>
        <w:t>) дополнить</w:t>
      </w:r>
      <w:r w:rsidR="005B3130">
        <w:rPr>
          <w:sz w:val="28"/>
          <w:szCs w:val="28"/>
        </w:rPr>
        <w:t xml:space="preserve"> пунктом </w:t>
      </w:r>
      <w:r w:rsidR="008A5F50">
        <w:rPr>
          <w:sz w:val="28"/>
          <w:szCs w:val="28"/>
        </w:rPr>
        <w:t>«</w:t>
      </w:r>
      <w:proofErr w:type="gramStart"/>
      <w:r w:rsidR="008A5F50">
        <w:rPr>
          <w:sz w:val="28"/>
          <w:szCs w:val="28"/>
        </w:rPr>
        <w:t>ж</w:t>
      </w:r>
      <w:r w:rsidR="005B3130">
        <w:rPr>
          <w:sz w:val="28"/>
          <w:szCs w:val="28"/>
        </w:rPr>
        <w:t>(</w:t>
      </w:r>
      <w:proofErr w:type="gramEnd"/>
      <w:r w:rsidR="005B3130">
        <w:rPr>
          <w:sz w:val="28"/>
          <w:szCs w:val="28"/>
        </w:rPr>
        <w:t xml:space="preserve">1)», </w:t>
      </w:r>
      <w:r w:rsidR="008A5F50">
        <w:rPr>
          <w:sz w:val="28"/>
          <w:szCs w:val="28"/>
        </w:rPr>
        <w:t>следующего содержания:</w:t>
      </w:r>
    </w:p>
    <w:p w:rsidR="005B3130" w:rsidRDefault="005B3130" w:rsidP="005B31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5B3130">
        <w:rPr>
          <w:sz w:val="28"/>
          <w:szCs w:val="28"/>
        </w:rPr>
        <w:t>ж(</w:t>
      </w:r>
      <w:proofErr w:type="gramEnd"/>
      <w:r w:rsidRPr="005B3130">
        <w:rPr>
          <w:sz w:val="28"/>
          <w:szCs w:val="28"/>
        </w:rPr>
        <w:t>1)) устанавливает в ценовых зонах теплоснабжения плату за подключение (технологическое присоединение) к системе теплоснабжения, применяемую в случае, если стороны договора на подключение (технологическое присоединение) не достигли соглашения о размере платы за подключение (технологическое присоединение) к системе теплоснабжения;</w:t>
      </w:r>
      <w:r>
        <w:rPr>
          <w:sz w:val="28"/>
          <w:szCs w:val="28"/>
        </w:rPr>
        <w:t>»;</w:t>
      </w:r>
    </w:p>
    <w:p w:rsidR="005B3130" w:rsidRDefault="00F3608D" w:rsidP="005B31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3130">
        <w:rPr>
          <w:sz w:val="28"/>
          <w:szCs w:val="28"/>
        </w:rPr>
        <w:t xml:space="preserve">) дополнить подпунктами </w:t>
      </w:r>
      <w:r w:rsidR="005B3130">
        <w:rPr>
          <w:sz w:val="28"/>
          <w:szCs w:val="28"/>
        </w:rPr>
        <w:t>«с»</w:t>
      </w:r>
      <w:r w:rsidR="00EC12CB">
        <w:rPr>
          <w:sz w:val="28"/>
          <w:szCs w:val="28"/>
        </w:rPr>
        <w:t>,</w:t>
      </w:r>
      <w:r w:rsidR="005B3130">
        <w:rPr>
          <w:sz w:val="28"/>
          <w:szCs w:val="28"/>
        </w:rPr>
        <w:t xml:space="preserve"> «т»</w:t>
      </w:r>
      <w:r w:rsidR="00EC12CB">
        <w:rPr>
          <w:sz w:val="28"/>
          <w:szCs w:val="28"/>
        </w:rPr>
        <w:t xml:space="preserve"> и «у»</w:t>
      </w:r>
      <w:r w:rsidR="005B3130">
        <w:rPr>
          <w:sz w:val="28"/>
          <w:szCs w:val="28"/>
        </w:rPr>
        <w:t xml:space="preserve"> следующего содержания:</w:t>
      </w:r>
    </w:p>
    <w:p w:rsidR="008A5F50" w:rsidRPr="008A5F50" w:rsidRDefault="005B3130" w:rsidP="008A5F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5F50">
        <w:rPr>
          <w:sz w:val="28"/>
          <w:szCs w:val="28"/>
        </w:rPr>
        <w:t xml:space="preserve">с) </w:t>
      </w:r>
      <w:r w:rsidR="008A5F50" w:rsidRPr="008A5F50">
        <w:rPr>
          <w:sz w:val="28"/>
          <w:szCs w:val="28"/>
        </w:rPr>
        <w:t>устанавливает в ценовых зонах теплоснабжения:</w:t>
      </w:r>
    </w:p>
    <w:p w:rsidR="008A5F50" w:rsidRPr="008A5F50" w:rsidRDefault="008A5F50" w:rsidP="008A5F50">
      <w:pPr>
        <w:ind w:right="-1" w:firstLine="709"/>
        <w:jc w:val="both"/>
        <w:rPr>
          <w:sz w:val="28"/>
          <w:szCs w:val="28"/>
        </w:rPr>
      </w:pPr>
      <w:r w:rsidRPr="008A5F50">
        <w:rPr>
          <w:sz w:val="28"/>
          <w:szCs w:val="28"/>
        </w:rPr>
        <w:t>предельный уровень цены на тепловую энергию (мощность);</w:t>
      </w:r>
    </w:p>
    <w:p w:rsidR="008A5F50" w:rsidRPr="008A5F50" w:rsidRDefault="008A5F50" w:rsidP="008A5F50">
      <w:pPr>
        <w:ind w:right="-1" w:firstLine="709"/>
        <w:jc w:val="both"/>
        <w:rPr>
          <w:sz w:val="28"/>
          <w:szCs w:val="28"/>
        </w:rPr>
      </w:pPr>
      <w:r w:rsidRPr="008A5F50">
        <w:rPr>
          <w:sz w:val="28"/>
          <w:szCs w:val="28"/>
        </w:rPr>
        <w:t xml:space="preserve">тарифы на теплоноситель в виде воды,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когда поставку указанного теплоносителя осуществляет теплоснабжающая организация, владеющая на праве собственности или на ином законном основании источником тепловой энергии, потребителю, </w:t>
      </w:r>
      <w:proofErr w:type="spellStart"/>
      <w:r w:rsidRPr="008A5F50">
        <w:rPr>
          <w:sz w:val="28"/>
          <w:szCs w:val="28"/>
        </w:rPr>
        <w:t>теплопотребляющие</w:t>
      </w:r>
      <w:proofErr w:type="spellEnd"/>
      <w:r w:rsidRPr="008A5F50">
        <w:rPr>
          <w:sz w:val="28"/>
          <w:szCs w:val="28"/>
        </w:rPr>
        <w:t xml:space="preserve"> установки которого </w:t>
      </w:r>
      <w:r w:rsidRPr="008A5F50">
        <w:rPr>
          <w:sz w:val="28"/>
          <w:szCs w:val="28"/>
        </w:rPr>
        <w:lastRenderedPageBreak/>
        <w:t xml:space="preserve">технологически соединены с этим источником тепловой энергии непосредственно 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 w:rsidRPr="008A5F50">
        <w:rPr>
          <w:sz w:val="28"/>
          <w:szCs w:val="28"/>
        </w:rPr>
        <w:t>теплопотребляющие</w:t>
      </w:r>
      <w:proofErr w:type="spellEnd"/>
      <w:r w:rsidRPr="008A5F50">
        <w:rPr>
          <w:sz w:val="28"/>
          <w:szCs w:val="28"/>
        </w:rPr>
        <w:t xml:space="preserve">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8A5F50">
        <w:rPr>
          <w:sz w:val="28"/>
          <w:szCs w:val="28"/>
        </w:rPr>
        <w:t>теплопотребляющие</w:t>
      </w:r>
      <w:proofErr w:type="spellEnd"/>
      <w:r w:rsidRPr="008A5F50">
        <w:rPr>
          <w:sz w:val="28"/>
          <w:szCs w:val="28"/>
        </w:rPr>
        <w:t xml:space="preserve"> установки иных потребителей;</w:t>
      </w:r>
    </w:p>
    <w:p w:rsidR="008A5F50" w:rsidRPr="008A5F50" w:rsidRDefault="008A5F50" w:rsidP="008A5F50">
      <w:pPr>
        <w:ind w:right="-1" w:firstLine="709"/>
        <w:jc w:val="both"/>
        <w:rPr>
          <w:sz w:val="28"/>
          <w:szCs w:val="28"/>
        </w:rPr>
      </w:pPr>
      <w:r w:rsidRPr="008A5F50">
        <w:rPr>
          <w:sz w:val="28"/>
          <w:szCs w:val="28"/>
        </w:rPr>
        <w:t>тарифы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установленные в виде формулы двухкомпонентного тарифа с использованием компонента на теплоноситель и компонента на тепловую энергию;</w:t>
      </w:r>
    </w:p>
    <w:p w:rsidR="008A5F50" w:rsidRDefault="008A5F50" w:rsidP="00103FFB">
      <w:pPr>
        <w:ind w:right="-1" w:firstLine="709"/>
        <w:jc w:val="both"/>
        <w:rPr>
          <w:sz w:val="28"/>
          <w:szCs w:val="28"/>
        </w:rPr>
      </w:pPr>
      <w:r w:rsidRPr="008A5F50">
        <w:rPr>
          <w:sz w:val="28"/>
          <w:szCs w:val="28"/>
        </w:rPr>
        <w:t xml:space="preserve">тарифы на товары, услуги в сфере теплоснабжения в случаях, указанных в </w:t>
      </w:r>
      <w:hyperlink r:id="rId7" w:history="1">
        <w:r w:rsidRPr="008A5F50">
          <w:rPr>
            <w:rStyle w:val="a8"/>
            <w:sz w:val="28"/>
            <w:szCs w:val="28"/>
          </w:rPr>
          <w:t>частях 12.1</w:t>
        </w:r>
      </w:hyperlink>
      <w:r w:rsidRPr="008A5F50">
        <w:rPr>
          <w:sz w:val="28"/>
          <w:szCs w:val="28"/>
        </w:rPr>
        <w:t xml:space="preserve"> - </w:t>
      </w:r>
      <w:hyperlink r:id="rId8" w:history="1">
        <w:r w:rsidRPr="008A5F50">
          <w:rPr>
            <w:rStyle w:val="a8"/>
            <w:sz w:val="28"/>
            <w:szCs w:val="28"/>
          </w:rPr>
          <w:t>12.4 статьи 10</w:t>
        </w:r>
      </w:hyperlink>
      <w:r w:rsidRPr="008A5F50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ьного закона </w:t>
      </w:r>
      <w:r w:rsidR="00103FFB">
        <w:rPr>
          <w:sz w:val="28"/>
          <w:szCs w:val="28"/>
        </w:rPr>
        <w:t>от 27.07.2010 № 190-ФЗ «О теплоснабжении».</w:t>
      </w:r>
    </w:p>
    <w:p w:rsidR="005B3130" w:rsidRPr="005B3130" w:rsidRDefault="005B3130" w:rsidP="005B31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5B3130">
        <w:rPr>
          <w:sz w:val="28"/>
          <w:szCs w:val="28"/>
        </w:rPr>
        <w:t>осуществляет в ценовых зонах теплоснабжения индексацию:</w:t>
      </w:r>
    </w:p>
    <w:p w:rsidR="005B3130" w:rsidRPr="005B3130" w:rsidRDefault="005B3130" w:rsidP="005B3130">
      <w:pPr>
        <w:ind w:right="-1" w:firstLine="709"/>
        <w:jc w:val="both"/>
        <w:rPr>
          <w:sz w:val="28"/>
          <w:szCs w:val="28"/>
        </w:rPr>
      </w:pPr>
      <w:r w:rsidRPr="005B3130">
        <w:rPr>
          <w:sz w:val="28"/>
          <w:szCs w:val="28"/>
        </w:rPr>
        <w:t xml:space="preserve">тарифа на услуги по передаче тепловой энергии, теплоносителя, установленного для соответствующей </w:t>
      </w:r>
      <w:proofErr w:type="spellStart"/>
      <w:r w:rsidRPr="005B3130">
        <w:rPr>
          <w:sz w:val="28"/>
          <w:szCs w:val="28"/>
        </w:rPr>
        <w:t>теплосетевой</w:t>
      </w:r>
      <w:proofErr w:type="spellEnd"/>
      <w:r w:rsidRPr="005B3130">
        <w:rPr>
          <w:sz w:val="28"/>
          <w:szCs w:val="28"/>
        </w:rPr>
        <w:t xml:space="preserve"> организации и действующего на дату окончания переходного периода в ценовых зонах теплоснабжения, в целях осуществления расчетов за оказываемые услуги по передаче тепловой энергии, теплоносителя в случаях возникновения разногласий в отношении цены на услуги по передаче тепловой энергии, теплоносителя между единой теплоснабжающей организацией и </w:t>
      </w:r>
      <w:proofErr w:type="spellStart"/>
      <w:r w:rsidRPr="005B3130">
        <w:rPr>
          <w:sz w:val="28"/>
          <w:szCs w:val="28"/>
        </w:rPr>
        <w:t>теплосетевой</w:t>
      </w:r>
      <w:proofErr w:type="spellEnd"/>
      <w:r w:rsidRPr="005B3130">
        <w:rPr>
          <w:sz w:val="28"/>
          <w:szCs w:val="28"/>
        </w:rPr>
        <w:t xml:space="preserve"> организацией;</w:t>
      </w:r>
    </w:p>
    <w:p w:rsidR="005B3130" w:rsidRPr="005B3130" w:rsidRDefault="005B3130" w:rsidP="00103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130">
        <w:rPr>
          <w:sz w:val="28"/>
          <w:szCs w:val="28"/>
        </w:rPr>
        <w:t xml:space="preserve">ставки за тепловую энергию </w:t>
      </w:r>
      <w:proofErr w:type="spellStart"/>
      <w:r w:rsidRPr="005B3130">
        <w:rPr>
          <w:sz w:val="28"/>
          <w:szCs w:val="28"/>
        </w:rPr>
        <w:t>двухставочного</w:t>
      </w:r>
      <w:proofErr w:type="spellEnd"/>
      <w:r w:rsidRPr="005B3130">
        <w:rPr>
          <w:sz w:val="28"/>
          <w:szCs w:val="28"/>
        </w:rPr>
        <w:t xml:space="preserve">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9" w:history="1">
        <w:r w:rsidRPr="005B3130">
          <w:rPr>
            <w:rStyle w:val="a8"/>
            <w:sz w:val="28"/>
            <w:szCs w:val="28"/>
          </w:rPr>
          <w:t>законом</w:t>
        </w:r>
      </w:hyperlink>
      <w:r w:rsidRPr="005B3130">
        <w:rPr>
          <w:sz w:val="28"/>
          <w:szCs w:val="28"/>
        </w:rPr>
        <w:t xml:space="preserve"> </w:t>
      </w:r>
      <w:r w:rsidR="00103FFB">
        <w:rPr>
          <w:sz w:val="28"/>
          <w:szCs w:val="28"/>
        </w:rPr>
        <w:t>от 27.07.2010 «</w:t>
      </w:r>
      <w:r w:rsidR="00103FFB">
        <w:rPr>
          <w:sz w:val="28"/>
          <w:szCs w:val="28"/>
        </w:rPr>
        <w:t>190-ФЗ</w:t>
      </w:r>
      <w:r w:rsidR="00103FFB">
        <w:rPr>
          <w:sz w:val="28"/>
          <w:szCs w:val="28"/>
        </w:rPr>
        <w:t xml:space="preserve"> «О теплоснабжении»</w:t>
      </w:r>
      <w:r w:rsidRPr="005B3130">
        <w:rPr>
          <w:sz w:val="28"/>
          <w:szCs w:val="28"/>
        </w:rPr>
        <w:t>;</w:t>
      </w:r>
    </w:p>
    <w:p w:rsidR="005B3130" w:rsidRDefault="005B3130" w:rsidP="00103FFB">
      <w:pPr>
        <w:ind w:right="-1" w:firstLine="709"/>
        <w:jc w:val="both"/>
        <w:rPr>
          <w:sz w:val="28"/>
          <w:szCs w:val="28"/>
        </w:rPr>
      </w:pPr>
      <w:r w:rsidRPr="005B3130">
        <w:rPr>
          <w:sz w:val="28"/>
          <w:szCs w:val="28"/>
        </w:rPr>
        <w:t xml:space="preserve">величины расходов на топливо, отнесенных на одну </w:t>
      </w:r>
      <w:proofErr w:type="spellStart"/>
      <w:r w:rsidRPr="005B3130">
        <w:rPr>
          <w:sz w:val="28"/>
          <w:szCs w:val="28"/>
        </w:rPr>
        <w:t>гигакалорию</w:t>
      </w:r>
      <w:proofErr w:type="spellEnd"/>
      <w:r w:rsidRPr="005B3130">
        <w:rPr>
          <w:sz w:val="28"/>
          <w:szCs w:val="28"/>
        </w:rPr>
        <w:t xml:space="preserve"> тепловой энергии, отпускаемой в виде пара и (или) воды от источника (источников) тепловой энергии, и учтенных в </w:t>
      </w:r>
      <w:proofErr w:type="spellStart"/>
      <w:r w:rsidRPr="005B3130">
        <w:rPr>
          <w:sz w:val="28"/>
          <w:szCs w:val="28"/>
        </w:rPr>
        <w:t>одноставочном</w:t>
      </w:r>
      <w:proofErr w:type="spellEnd"/>
      <w:r w:rsidRPr="005B3130">
        <w:rPr>
          <w:sz w:val="28"/>
          <w:szCs w:val="28"/>
        </w:rPr>
        <w:t xml:space="preserve"> тарифе, установленном для соответствующей теплоснабжающей организации и действующем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0" w:history="1">
        <w:r w:rsidRPr="005B3130">
          <w:rPr>
            <w:rStyle w:val="a8"/>
            <w:sz w:val="28"/>
            <w:szCs w:val="28"/>
          </w:rPr>
          <w:t>законом</w:t>
        </w:r>
      </w:hyperlink>
      <w:r w:rsidRPr="005B3130">
        <w:rPr>
          <w:sz w:val="28"/>
          <w:szCs w:val="28"/>
        </w:rPr>
        <w:t xml:space="preserve"> </w:t>
      </w:r>
      <w:r w:rsidR="00103FFB">
        <w:rPr>
          <w:sz w:val="28"/>
          <w:szCs w:val="28"/>
        </w:rPr>
        <w:t>от 27.07.2010 №</w:t>
      </w:r>
      <w:r w:rsidR="00103FFB" w:rsidRPr="00103FFB">
        <w:rPr>
          <w:sz w:val="28"/>
          <w:szCs w:val="28"/>
        </w:rPr>
        <w:t xml:space="preserve"> 190-ФЗ</w:t>
      </w:r>
      <w:r w:rsidR="00103FFB">
        <w:rPr>
          <w:sz w:val="28"/>
          <w:szCs w:val="28"/>
        </w:rPr>
        <w:t xml:space="preserve"> «О теплоснабжении»</w:t>
      </w:r>
      <w:r w:rsidR="00EC12CB">
        <w:rPr>
          <w:sz w:val="28"/>
          <w:szCs w:val="28"/>
        </w:rPr>
        <w:t>.</w:t>
      </w:r>
    </w:p>
    <w:p w:rsidR="00EC12CB" w:rsidRPr="00EC12CB" w:rsidRDefault="00EC12CB" w:rsidP="00EC12C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у) </w:t>
      </w:r>
      <w:r w:rsidRPr="00EC12CB">
        <w:rPr>
          <w:sz w:val="28"/>
          <w:szCs w:val="28"/>
        </w:rPr>
        <w:t xml:space="preserve">обеспечивает в поселениях, городских округах, не отнесенных к ценовым зонам теплоснабжения, в целях информирования теплоснабжающих организаций, </w:t>
      </w:r>
      <w:proofErr w:type="spellStart"/>
      <w:r w:rsidRPr="00EC12CB">
        <w:rPr>
          <w:sz w:val="28"/>
          <w:szCs w:val="28"/>
        </w:rPr>
        <w:t>теплосетевых</w:t>
      </w:r>
      <w:proofErr w:type="spellEnd"/>
      <w:r w:rsidRPr="00EC12CB">
        <w:rPr>
          <w:sz w:val="28"/>
          <w:szCs w:val="28"/>
        </w:rPr>
        <w:t xml:space="preserve"> организаций и потребителей расчет и размещение на официальном сайте в информационно-телекоммуникационной сети "Интернет" уровня цены на тепловую энергию (мощность), определенного в соответствии с </w:t>
      </w:r>
      <w:hyperlink r:id="rId11" w:history="1">
        <w:r w:rsidRPr="00EC12CB">
          <w:rPr>
            <w:rStyle w:val="a8"/>
            <w:sz w:val="28"/>
            <w:szCs w:val="28"/>
          </w:rPr>
          <w:t>Правилами</w:t>
        </w:r>
      </w:hyperlink>
      <w:r w:rsidRPr="00EC12CB">
        <w:rPr>
          <w:sz w:val="28"/>
          <w:szCs w:val="28"/>
        </w:rPr>
        <w:t xml:space="preserve">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(мощность), утверждаемыми Правительством Российской Федерации в соответствии с Федеральным </w:t>
      </w:r>
      <w:hyperlink r:id="rId12" w:history="1">
        <w:r w:rsidRPr="00EC12CB">
          <w:rPr>
            <w:rStyle w:val="a8"/>
            <w:sz w:val="28"/>
            <w:szCs w:val="28"/>
          </w:rPr>
          <w:t>законом</w:t>
        </w:r>
      </w:hyperlink>
      <w:r w:rsidRPr="00EC12CB">
        <w:rPr>
          <w:sz w:val="28"/>
          <w:szCs w:val="28"/>
        </w:rPr>
        <w:t xml:space="preserve"> от 27.07.2010 № 190-ФЗ </w:t>
      </w:r>
      <w:r>
        <w:rPr>
          <w:sz w:val="28"/>
          <w:szCs w:val="28"/>
        </w:rPr>
        <w:t>«О теплоснабжении»</w:t>
      </w:r>
      <w:r w:rsidR="00F3608D">
        <w:rPr>
          <w:sz w:val="28"/>
          <w:szCs w:val="28"/>
        </w:rPr>
        <w:t>.»</w:t>
      </w:r>
      <w:r w:rsidR="00000F67">
        <w:rPr>
          <w:sz w:val="28"/>
          <w:szCs w:val="28"/>
        </w:rPr>
        <w:t>.</w:t>
      </w:r>
    </w:p>
    <w:p w:rsidR="00EC12CB" w:rsidRPr="005B3130" w:rsidRDefault="00F3608D" w:rsidP="00103FF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части 2.2 изложить в следующей редакции:</w:t>
      </w:r>
    </w:p>
    <w:p w:rsidR="008A5F50" w:rsidRDefault="00F3608D" w:rsidP="00F3608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608D">
        <w:rPr>
          <w:sz w:val="28"/>
          <w:szCs w:val="28"/>
        </w:rPr>
        <w:t xml:space="preserve">информацию и необходимые материалы по вопросам установления, изменения и применения тарифов, в том числе установления и изменения предельных уровней цен на тепловую энергию (мощность), регулируемых в соответствии с Федеральным </w:t>
      </w:r>
      <w:hyperlink r:id="rId13" w:history="1">
        <w:r w:rsidRPr="00F3608D">
          <w:rPr>
            <w:rStyle w:val="a8"/>
            <w:sz w:val="28"/>
            <w:szCs w:val="28"/>
          </w:rPr>
          <w:t>законом</w:t>
        </w:r>
      </w:hyperlink>
      <w:r w:rsidRPr="00F3608D">
        <w:rPr>
          <w:sz w:val="28"/>
          <w:szCs w:val="28"/>
        </w:rPr>
        <w:t xml:space="preserve"> от 27.07.2010 № 190-ФЗ </w:t>
      </w:r>
      <w:r>
        <w:rPr>
          <w:sz w:val="28"/>
          <w:szCs w:val="28"/>
        </w:rPr>
        <w:t>«О теплоснабжении»</w:t>
      </w:r>
      <w:r w:rsidRPr="00F3608D">
        <w:rPr>
          <w:sz w:val="28"/>
          <w:szCs w:val="28"/>
        </w:rPr>
        <w:t xml:space="preserve">, в случаях, в формате и в сроки, которые установлены Федеральным </w:t>
      </w:r>
      <w:hyperlink r:id="rId14" w:history="1">
        <w:r w:rsidRPr="00F3608D">
          <w:rPr>
            <w:rStyle w:val="a8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F3608D">
        <w:rPr>
          <w:sz w:val="28"/>
          <w:szCs w:val="28"/>
        </w:rPr>
        <w:t xml:space="preserve">от 27.07.2010 № 190-ФЗ </w:t>
      </w:r>
      <w:r>
        <w:rPr>
          <w:sz w:val="28"/>
          <w:szCs w:val="28"/>
        </w:rPr>
        <w:t>«О теплоснабжении»</w:t>
      </w:r>
      <w:r w:rsidRPr="00F3608D">
        <w:rPr>
          <w:sz w:val="28"/>
          <w:szCs w:val="28"/>
        </w:rPr>
        <w:t>, а также правилами предоставления информации в области государственного регулирования тарифов в сфере теплоснабжения, утвержденными федеральным органом исполнительной власти в области государственного регулирования тарифов;</w:t>
      </w:r>
      <w:r>
        <w:rPr>
          <w:sz w:val="28"/>
          <w:szCs w:val="28"/>
        </w:rPr>
        <w:t>».</w:t>
      </w:r>
    </w:p>
    <w:p w:rsidR="00F47230" w:rsidRPr="00F47230" w:rsidRDefault="00F47230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81756" w:rsidRPr="00A81756" w:rsidRDefault="00A81756" w:rsidP="00303F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81756" w:rsidRPr="00A81756" w:rsidRDefault="00A81756" w:rsidP="00303F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C5B6F" w:rsidRDefault="000C5B6F" w:rsidP="00303F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24FAB" w:rsidRDefault="00924FAB" w:rsidP="00924FAB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A81756" w:rsidRDefault="00A81756" w:rsidP="000E172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D7297" w:rsidRPr="000C0817" w:rsidRDefault="002D7297" w:rsidP="000E172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E172A" w:rsidRPr="001310B3" w:rsidRDefault="00303F91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97B65">
        <w:rPr>
          <w:sz w:val="28"/>
          <w:szCs w:val="28"/>
        </w:rPr>
        <w:lastRenderedPageBreak/>
        <w:t>С</w:t>
      </w:r>
      <w:r w:rsidR="000E172A" w:rsidRPr="001310B3">
        <w:rPr>
          <w:sz w:val="28"/>
          <w:szCs w:val="28"/>
        </w:rPr>
        <w:t>ОГЛАСОВАНО:</w:t>
      </w: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30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E1315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E2013F">
        <w:rPr>
          <w:sz w:val="28"/>
          <w:szCs w:val="28"/>
        </w:rPr>
        <w:t>К</w:t>
      </w:r>
      <w:r>
        <w:rPr>
          <w:sz w:val="28"/>
          <w:szCs w:val="28"/>
        </w:rPr>
        <w:t>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03F91">
        <w:rPr>
          <w:sz w:val="28"/>
          <w:szCs w:val="28"/>
        </w:rPr>
        <w:t xml:space="preserve">     </w:t>
      </w:r>
      <w:r>
        <w:rPr>
          <w:sz w:val="28"/>
          <w:szCs w:val="28"/>
        </w:rPr>
        <w:t>М.А. Суббота</w:t>
      </w: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F91" w:rsidRDefault="008C5124" w:rsidP="002D7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D7297">
        <w:rPr>
          <w:sz w:val="28"/>
          <w:szCs w:val="28"/>
        </w:rPr>
        <w:t xml:space="preserve">Региональной </w:t>
      </w:r>
    </w:p>
    <w:p w:rsidR="00303F91" w:rsidRDefault="002D7297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по тарифам и ценам </w:t>
      </w:r>
    </w:p>
    <w:p w:rsidR="004D4BE3" w:rsidRDefault="002D7297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8C5124">
        <w:rPr>
          <w:sz w:val="28"/>
          <w:szCs w:val="28"/>
        </w:rPr>
        <w:t xml:space="preserve"> </w:t>
      </w:r>
      <w:r w:rsidR="009D2169" w:rsidRPr="00A3711A">
        <w:rPr>
          <w:sz w:val="28"/>
          <w:szCs w:val="28"/>
        </w:rPr>
        <w:t xml:space="preserve">                                                </w:t>
      </w:r>
      <w:r w:rsidR="008C5124">
        <w:rPr>
          <w:sz w:val="28"/>
          <w:szCs w:val="28"/>
        </w:rPr>
        <w:t xml:space="preserve">                           </w:t>
      </w:r>
      <w:r w:rsidR="00000F67">
        <w:rPr>
          <w:sz w:val="28"/>
          <w:szCs w:val="28"/>
        </w:rPr>
        <w:t xml:space="preserve">     </w:t>
      </w:r>
      <w:r w:rsidR="008C5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О.Н. Кукиль</w:t>
      </w:r>
    </w:p>
    <w:p w:rsidR="001310B3" w:rsidRDefault="001310B3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D7297" w:rsidRDefault="002D7297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2FE2" w:rsidRPr="00413234" w:rsidRDefault="00000F67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2FE2" w:rsidRPr="00413234">
        <w:rPr>
          <w:sz w:val="28"/>
          <w:szCs w:val="28"/>
        </w:rPr>
        <w:t>ачальник Главного правового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 w:rsidR="00FE1315">
        <w:rPr>
          <w:sz w:val="28"/>
          <w:szCs w:val="28"/>
        </w:rPr>
        <w:t xml:space="preserve">  </w:t>
      </w:r>
      <w:r w:rsidR="008D3B49">
        <w:rPr>
          <w:sz w:val="28"/>
          <w:szCs w:val="28"/>
        </w:rPr>
        <w:t xml:space="preserve">                           </w:t>
      </w:r>
      <w:r w:rsidR="002D7297">
        <w:rPr>
          <w:sz w:val="28"/>
          <w:szCs w:val="28"/>
        </w:rPr>
        <w:t xml:space="preserve">    </w:t>
      </w:r>
      <w:r w:rsidR="008D3B49">
        <w:rPr>
          <w:sz w:val="28"/>
          <w:szCs w:val="28"/>
        </w:rPr>
        <w:t xml:space="preserve"> </w:t>
      </w:r>
      <w:r w:rsidR="00000F67">
        <w:rPr>
          <w:sz w:val="28"/>
          <w:szCs w:val="28"/>
        </w:rPr>
        <w:t xml:space="preserve">    С.Н. </w:t>
      </w:r>
      <w:proofErr w:type="spellStart"/>
      <w:r w:rsidR="00000F67">
        <w:rPr>
          <w:sz w:val="28"/>
          <w:szCs w:val="28"/>
        </w:rPr>
        <w:t>Гудин</w:t>
      </w:r>
      <w:proofErr w:type="spellEnd"/>
    </w:p>
    <w:p w:rsidR="000E172A" w:rsidRPr="00413234" w:rsidRDefault="000E172A" w:rsidP="000E172A">
      <w:pPr>
        <w:rPr>
          <w:sz w:val="28"/>
          <w:szCs w:val="28"/>
        </w:rPr>
      </w:pPr>
    </w:p>
    <w:p w:rsidR="000E172A" w:rsidRPr="00045329" w:rsidRDefault="000E172A" w:rsidP="000E172A">
      <w:pPr>
        <w:rPr>
          <w:sz w:val="28"/>
          <w:szCs w:val="28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E1538" w:rsidRDefault="00AE153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Pr="00B96003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97B65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3F91" w:rsidRDefault="00303F91" w:rsidP="008C5124">
      <w:pPr>
        <w:pStyle w:val="a5"/>
        <w:rPr>
          <w:sz w:val="20"/>
          <w:szCs w:val="20"/>
        </w:rPr>
      </w:pPr>
    </w:p>
    <w:p w:rsidR="00303F91" w:rsidRDefault="00303F91" w:rsidP="008C5124">
      <w:pPr>
        <w:pStyle w:val="a5"/>
        <w:rPr>
          <w:sz w:val="20"/>
          <w:szCs w:val="20"/>
        </w:rPr>
      </w:pPr>
    </w:p>
    <w:p w:rsidR="008C5124" w:rsidRPr="00303F91" w:rsidRDefault="008C5124" w:rsidP="008C5124">
      <w:pPr>
        <w:pStyle w:val="a5"/>
        <w:rPr>
          <w:sz w:val="20"/>
          <w:szCs w:val="20"/>
        </w:rPr>
      </w:pPr>
      <w:r w:rsidRPr="00303F91">
        <w:rPr>
          <w:sz w:val="20"/>
          <w:szCs w:val="20"/>
        </w:rPr>
        <w:t>Исп.</w:t>
      </w:r>
    </w:p>
    <w:p w:rsidR="008C5124" w:rsidRPr="00303F91" w:rsidRDefault="002D7297" w:rsidP="008C5124">
      <w:pPr>
        <w:pStyle w:val="a5"/>
        <w:rPr>
          <w:sz w:val="20"/>
          <w:szCs w:val="20"/>
        </w:rPr>
      </w:pPr>
      <w:r w:rsidRPr="00303F91">
        <w:rPr>
          <w:sz w:val="20"/>
          <w:szCs w:val="20"/>
        </w:rPr>
        <w:t>Андрусяк Сергей Сергеевич</w:t>
      </w:r>
    </w:p>
    <w:p w:rsidR="00303F91" w:rsidRDefault="008C5124" w:rsidP="00303F91">
      <w:pPr>
        <w:pStyle w:val="a5"/>
        <w:rPr>
          <w:sz w:val="20"/>
          <w:szCs w:val="20"/>
        </w:rPr>
      </w:pPr>
      <w:r w:rsidRPr="00303F91">
        <w:rPr>
          <w:sz w:val="20"/>
          <w:szCs w:val="20"/>
        </w:rPr>
        <w:t xml:space="preserve">Тел. (84152) </w:t>
      </w:r>
      <w:r w:rsidR="002D7297" w:rsidRPr="00303F91">
        <w:rPr>
          <w:sz w:val="20"/>
          <w:szCs w:val="20"/>
        </w:rPr>
        <w:t>42-75-17</w:t>
      </w:r>
      <w:r w:rsidR="00303F91" w:rsidRPr="00303F91">
        <w:rPr>
          <w:sz w:val="20"/>
          <w:szCs w:val="20"/>
        </w:rPr>
        <w:t xml:space="preserve"> </w:t>
      </w:r>
    </w:p>
    <w:p w:rsidR="00303F91" w:rsidRPr="00303F91" w:rsidRDefault="00303F91" w:rsidP="00303F91">
      <w:pPr>
        <w:pStyle w:val="a5"/>
        <w:rPr>
          <w:sz w:val="20"/>
          <w:szCs w:val="20"/>
        </w:rPr>
      </w:pPr>
      <w:r w:rsidRPr="00303F91">
        <w:rPr>
          <w:sz w:val="20"/>
          <w:szCs w:val="20"/>
        </w:rPr>
        <w:t>Региональн</w:t>
      </w:r>
      <w:r>
        <w:rPr>
          <w:sz w:val="20"/>
          <w:szCs w:val="20"/>
        </w:rPr>
        <w:t>ая</w:t>
      </w:r>
      <w:r w:rsidRPr="00303F91">
        <w:rPr>
          <w:sz w:val="20"/>
          <w:szCs w:val="20"/>
        </w:rPr>
        <w:t xml:space="preserve"> служб</w:t>
      </w:r>
      <w:r>
        <w:rPr>
          <w:sz w:val="20"/>
          <w:szCs w:val="20"/>
        </w:rPr>
        <w:t>а</w:t>
      </w:r>
      <w:r w:rsidRPr="00303F91">
        <w:rPr>
          <w:sz w:val="20"/>
          <w:szCs w:val="20"/>
        </w:rPr>
        <w:t xml:space="preserve"> по тарифам и ценам Камчатского края</w:t>
      </w:r>
    </w:p>
    <w:p w:rsidR="00966BDD" w:rsidRDefault="00966BDD" w:rsidP="00303F91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lastRenderedPageBreak/>
        <w:t>ПОЯСНИТЕЛЬНАЯ ЗАПИСКА</w:t>
      </w:r>
    </w:p>
    <w:p w:rsidR="00303F91" w:rsidRDefault="00966BDD" w:rsidP="00303F91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>к проекту постановления Правительств</w:t>
      </w:r>
      <w:r>
        <w:rPr>
          <w:sz w:val="28"/>
          <w:szCs w:val="28"/>
        </w:rPr>
        <w:t>а Камчатского края</w:t>
      </w:r>
    </w:p>
    <w:p w:rsidR="00303F91" w:rsidRDefault="002D7297" w:rsidP="00303F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D7297">
        <w:rPr>
          <w:sz w:val="28"/>
          <w:szCs w:val="28"/>
        </w:rPr>
        <w:t>О внесении изменени</w:t>
      </w:r>
      <w:r w:rsidR="008829C4">
        <w:rPr>
          <w:sz w:val="28"/>
          <w:szCs w:val="28"/>
        </w:rPr>
        <w:t>я</w:t>
      </w:r>
      <w:r w:rsidRPr="002D7297">
        <w:rPr>
          <w:sz w:val="28"/>
          <w:szCs w:val="28"/>
        </w:rPr>
        <w:t xml:space="preserve"> в приложение к постановлению Правительства </w:t>
      </w:r>
    </w:p>
    <w:p w:rsidR="00303F91" w:rsidRDefault="002D7297" w:rsidP="00303F91">
      <w:pPr>
        <w:spacing w:line="276" w:lineRule="auto"/>
        <w:jc w:val="center"/>
        <w:rPr>
          <w:sz w:val="28"/>
          <w:szCs w:val="28"/>
        </w:rPr>
      </w:pPr>
      <w:r w:rsidRPr="002D7297">
        <w:rPr>
          <w:sz w:val="28"/>
          <w:szCs w:val="28"/>
        </w:rPr>
        <w:t>Камчатского края от 19.12.2008 № 424-П «Об утверждении Положения</w:t>
      </w:r>
    </w:p>
    <w:p w:rsidR="00966BDD" w:rsidRPr="00297BA3" w:rsidRDefault="002D7297" w:rsidP="00303F91">
      <w:pPr>
        <w:spacing w:line="276" w:lineRule="auto"/>
        <w:jc w:val="center"/>
        <w:rPr>
          <w:sz w:val="28"/>
          <w:szCs w:val="28"/>
        </w:rPr>
      </w:pPr>
      <w:r w:rsidRPr="002D7297">
        <w:rPr>
          <w:sz w:val="28"/>
          <w:szCs w:val="28"/>
        </w:rPr>
        <w:t>о Региональной службе по тарифам и ценам Камчатского края»</w:t>
      </w:r>
    </w:p>
    <w:p w:rsidR="00966BDD" w:rsidRPr="00297BA3" w:rsidRDefault="00966BDD" w:rsidP="00303F91">
      <w:pPr>
        <w:spacing w:line="276" w:lineRule="auto"/>
        <w:jc w:val="center"/>
        <w:rPr>
          <w:sz w:val="28"/>
          <w:szCs w:val="28"/>
        </w:rPr>
      </w:pPr>
    </w:p>
    <w:p w:rsidR="00303F91" w:rsidRDefault="00303F91" w:rsidP="00303F91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Проект постановления Правите</w:t>
      </w:r>
      <w:r>
        <w:rPr>
          <w:sz w:val="28"/>
          <w:szCs w:val="28"/>
        </w:rPr>
        <w:t>льства</w:t>
      </w:r>
      <w:r w:rsidR="001B062F">
        <w:rPr>
          <w:sz w:val="28"/>
          <w:szCs w:val="28"/>
        </w:rPr>
        <w:t xml:space="preserve"> Камчатского края разработан в </w:t>
      </w:r>
      <w:r w:rsidRPr="00297BA3">
        <w:rPr>
          <w:sz w:val="28"/>
          <w:szCs w:val="28"/>
        </w:rPr>
        <w:t xml:space="preserve">целях </w:t>
      </w:r>
      <w:r w:rsidR="001B062F">
        <w:rPr>
          <w:sz w:val="28"/>
          <w:szCs w:val="28"/>
        </w:rPr>
        <w:t xml:space="preserve">приведения в соответствие с постановлением Правительства Российской Федерации </w:t>
      </w:r>
      <w:r w:rsidR="00907F01">
        <w:rPr>
          <w:sz w:val="28"/>
          <w:szCs w:val="28"/>
        </w:rPr>
        <w:t>от 17.10.2018 № 1236 «О внесении изменений в пункт 4 Типового положения об органе исполнительной власти субъекта Российской Федерации в области государственного регулирования тарифов»</w:t>
      </w:r>
      <w:r>
        <w:rPr>
          <w:sz w:val="28"/>
          <w:szCs w:val="28"/>
        </w:rPr>
        <w:t xml:space="preserve">. </w:t>
      </w:r>
    </w:p>
    <w:p w:rsidR="00966BDD" w:rsidRPr="00297BA3" w:rsidRDefault="00907F01" w:rsidP="002D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01.11</w:t>
      </w:r>
      <w:r w:rsidR="00966BDD" w:rsidRPr="00297BA3">
        <w:rPr>
          <w:sz w:val="28"/>
          <w:szCs w:val="28"/>
        </w:rPr>
        <w:t>.2018 года проект пос</w:t>
      </w:r>
      <w:r w:rsidR="00966BDD">
        <w:rPr>
          <w:sz w:val="28"/>
          <w:szCs w:val="28"/>
        </w:rPr>
        <w:t>тановления Правительства Камчат</w:t>
      </w:r>
      <w:r w:rsidR="00966BDD" w:rsidRPr="00297BA3">
        <w:rPr>
          <w:sz w:val="28"/>
          <w:szCs w:val="28"/>
        </w:rPr>
        <w:t xml:space="preserve">ского </w:t>
      </w:r>
      <w:r w:rsidR="00966BDD">
        <w:rPr>
          <w:sz w:val="28"/>
          <w:szCs w:val="28"/>
        </w:rPr>
        <w:t>края</w:t>
      </w:r>
      <w:r w:rsidR="002D7297">
        <w:rPr>
          <w:sz w:val="28"/>
          <w:szCs w:val="28"/>
        </w:rPr>
        <w:t xml:space="preserve"> </w:t>
      </w:r>
      <w:r w:rsidR="00966BDD" w:rsidRPr="00297BA3">
        <w:rPr>
          <w:sz w:val="28"/>
          <w:szCs w:val="28"/>
        </w:rPr>
        <w:t>размещен на Едином портале пров</w:t>
      </w:r>
      <w:r w:rsidR="00966BDD">
        <w:rPr>
          <w:sz w:val="28"/>
          <w:szCs w:val="28"/>
        </w:rPr>
        <w:t>едения независимой антикоррупцио</w:t>
      </w:r>
      <w:r w:rsidR="00966BDD" w:rsidRPr="00297BA3">
        <w:rPr>
          <w:sz w:val="28"/>
          <w:szCs w:val="28"/>
        </w:rPr>
        <w:t xml:space="preserve">нной </w:t>
      </w:r>
      <w:r w:rsidR="00966BDD">
        <w:rPr>
          <w:sz w:val="28"/>
          <w:szCs w:val="28"/>
        </w:rPr>
        <w:t>экспертизы</w:t>
      </w:r>
      <w:r w:rsidR="00966BDD" w:rsidRPr="00297BA3">
        <w:rPr>
          <w:sz w:val="28"/>
          <w:szCs w:val="28"/>
        </w:rPr>
        <w:t xml:space="preserve"> и общественного обсуж</w:t>
      </w:r>
      <w:r w:rsidR="00966BDD">
        <w:rPr>
          <w:sz w:val="28"/>
          <w:szCs w:val="28"/>
        </w:rPr>
        <w:t>дения проектов нормативных прав</w:t>
      </w:r>
      <w:r w:rsidR="00966BDD" w:rsidRPr="00297BA3">
        <w:rPr>
          <w:sz w:val="28"/>
          <w:szCs w:val="28"/>
        </w:rPr>
        <w:t xml:space="preserve">овых </w:t>
      </w:r>
      <w:r w:rsidR="00966BDD">
        <w:rPr>
          <w:sz w:val="28"/>
          <w:szCs w:val="28"/>
        </w:rPr>
        <w:t>актов</w:t>
      </w:r>
      <w:r w:rsidR="00966BDD" w:rsidRPr="00297BA3">
        <w:rPr>
          <w:sz w:val="28"/>
          <w:szCs w:val="28"/>
        </w:rPr>
        <w:t xml:space="preserve"> Камчатского края для проведения в</w:t>
      </w:r>
      <w:r w:rsidR="00CD1FAA">
        <w:rPr>
          <w:sz w:val="28"/>
          <w:szCs w:val="28"/>
        </w:rPr>
        <w:t xml:space="preserve"> срок по 10.11</w:t>
      </w:r>
      <w:bookmarkStart w:id="0" w:name="_GoBack"/>
      <w:bookmarkEnd w:id="0"/>
      <w:r w:rsidR="00966BDD">
        <w:rPr>
          <w:sz w:val="28"/>
          <w:szCs w:val="28"/>
        </w:rPr>
        <w:t>.2018 года независ</w:t>
      </w:r>
      <w:r w:rsidR="00966BDD" w:rsidRPr="00297BA3">
        <w:rPr>
          <w:sz w:val="28"/>
          <w:szCs w:val="28"/>
        </w:rPr>
        <w:t>им</w:t>
      </w:r>
      <w:r w:rsidR="00966BDD">
        <w:rPr>
          <w:sz w:val="28"/>
          <w:szCs w:val="28"/>
        </w:rPr>
        <w:t xml:space="preserve">ой антикоррупционной экспертизы. </w:t>
      </w:r>
    </w:p>
    <w:p w:rsidR="00966BDD" w:rsidRDefault="00966BDD" w:rsidP="00966BDD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Настоящий проект постановления Правительст</w:t>
      </w:r>
      <w:r>
        <w:rPr>
          <w:sz w:val="28"/>
          <w:szCs w:val="28"/>
        </w:rPr>
        <w:t xml:space="preserve">ва Камчатского края не </w:t>
      </w:r>
      <w:r w:rsidRPr="00297BA3">
        <w:rPr>
          <w:sz w:val="28"/>
          <w:szCs w:val="28"/>
        </w:rPr>
        <w:t>подлежит оценке регулирующего воздейс</w:t>
      </w:r>
      <w:r>
        <w:rPr>
          <w:sz w:val="28"/>
          <w:szCs w:val="28"/>
        </w:rPr>
        <w:t>твия в соответствии с постановле</w:t>
      </w:r>
      <w:r w:rsidRPr="00297BA3">
        <w:rPr>
          <w:sz w:val="28"/>
          <w:szCs w:val="28"/>
        </w:rPr>
        <w:t>нием Правительства Камчатского края от</w:t>
      </w:r>
      <w:r>
        <w:rPr>
          <w:sz w:val="28"/>
          <w:szCs w:val="28"/>
        </w:rPr>
        <w:t xml:space="preserve"> 06.06.2013 № 233-П «Об утвержд</w:t>
      </w:r>
      <w:r w:rsidRPr="00297BA3">
        <w:rPr>
          <w:sz w:val="28"/>
          <w:szCs w:val="28"/>
        </w:rPr>
        <w:t>ении Порядка про ведения оценки регулирующ</w:t>
      </w:r>
      <w:r>
        <w:rPr>
          <w:sz w:val="28"/>
          <w:szCs w:val="28"/>
        </w:rPr>
        <w:t>его воздействия проектов нормати</w:t>
      </w:r>
      <w:r w:rsidRPr="00297BA3">
        <w:rPr>
          <w:sz w:val="28"/>
          <w:szCs w:val="28"/>
        </w:rPr>
        <w:t>вных правовых актов Камчатского края и э</w:t>
      </w:r>
      <w:r>
        <w:rPr>
          <w:sz w:val="28"/>
          <w:szCs w:val="28"/>
        </w:rPr>
        <w:t xml:space="preserve">кспертизы нормативных правовых Камчатского краю». </w:t>
      </w:r>
    </w:p>
    <w:p w:rsidR="00966BDD" w:rsidRPr="00297BA3" w:rsidRDefault="00966BDD" w:rsidP="00966BDD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Реализация пр</w:t>
      </w:r>
      <w:r>
        <w:rPr>
          <w:sz w:val="28"/>
          <w:szCs w:val="28"/>
        </w:rPr>
        <w:t xml:space="preserve">оекта </w:t>
      </w:r>
      <w:r w:rsidR="00303F91" w:rsidRPr="00297BA3">
        <w:rPr>
          <w:sz w:val="28"/>
          <w:szCs w:val="28"/>
        </w:rPr>
        <w:t>постановления Правительст</w:t>
      </w:r>
      <w:r w:rsidR="00303F91">
        <w:rPr>
          <w:sz w:val="28"/>
          <w:szCs w:val="28"/>
        </w:rPr>
        <w:t xml:space="preserve">ва Камчатского края </w:t>
      </w:r>
      <w:r w:rsidRPr="00297BA3">
        <w:rPr>
          <w:sz w:val="28"/>
          <w:szCs w:val="28"/>
        </w:rPr>
        <w:t>не потребует выделен</w:t>
      </w:r>
      <w:r>
        <w:rPr>
          <w:sz w:val="28"/>
          <w:szCs w:val="28"/>
        </w:rPr>
        <w:t xml:space="preserve">ия дополнительных ассигнований </w:t>
      </w:r>
      <w:r w:rsidRPr="00297BA3">
        <w:rPr>
          <w:sz w:val="28"/>
          <w:szCs w:val="28"/>
        </w:rPr>
        <w:t xml:space="preserve">бюджета. </w:t>
      </w:r>
    </w:p>
    <w:p w:rsidR="00966BDD" w:rsidRDefault="00966BDD" w:rsidP="00966BDD">
      <w:pPr>
        <w:spacing w:line="276" w:lineRule="auto"/>
        <w:ind w:firstLine="709"/>
        <w:jc w:val="both"/>
      </w:pPr>
    </w:p>
    <w:p w:rsidR="006464B3" w:rsidRDefault="006464B3" w:rsidP="00CE17E0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</w:p>
    <w:sectPr w:rsidR="006464B3" w:rsidSect="00254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0F67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5566A"/>
    <w:rsid w:val="00081CD0"/>
    <w:rsid w:val="00083A43"/>
    <w:rsid w:val="000A0B1D"/>
    <w:rsid w:val="000A698B"/>
    <w:rsid w:val="000B66B0"/>
    <w:rsid w:val="000C0817"/>
    <w:rsid w:val="000C5B6F"/>
    <w:rsid w:val="000E172A"/>
    <w:rsid w:val="000E19D3"/>
    <w:rsid w:val="000E7F4A"/>
    <w:rsid w:val="000F595A"/>
    <w:rsid w:val="000F7BB3"/>
    <w:rsid w:val="00103FFB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062F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713C"/>
    <w:rsid w:val="0025019C"/>
    <w:rsid w:val="002508F6"/>
    <w:rsid w:val="0025460D"/>
    <w:rsid w:val="002550EC"/>
    <w:rsid w:val="002772D0"/>
    <w:rsid w:val="00283E0D"/>
    <w:rsid w:val="002A0EDE"/>
    <w:rsid w:val="002B110B"/>
    <w:rsid w:val="002B2D6A"/>
    <w:rsid w:val="002B39E2"/>
    <w:rsid w:val="002C06F8"/>
    <w:rsid w:val="002C7E43"/>
    <w:rsid w:val="002D1ACA"/>
    <w:rsid w:val="002D5A7A"/>
    <w:rsid w:val="002D6EB8"/>
    <w:rsid w:val="002D7297"/>
    <w:rsid w:val="002D7C56"/>
    <w:rsid w:val="002E3104"/>
    <w:rsid w:val="002F22F2"/>
    <w:rsid w:val="0030009F"/>
    <w:rsid w:val="00300A8C"/>
    <w:rsid w:val="00300FFA"/>
    <w:rsid w:val="00303F91"/>
    <w:rsid w:val="00322975"/>
    <w:rsid w:val="00330E1D"/>
    <w:rsid w:val="00334490"/>
    <w:rsid w:val="003441D7"/>
    <w:rsid w:val="003457BD"/>
    <w:rsid w:val="00353113"/>
    <w:rsid w:val="003555E0"/>
    <w:rsid w:val="00362270"/>
    <w:rsid w:val="00367E42"/>
    <w:rsid w:val="003B2BBD"/>
    <w:rsid w:val="003B7D98"/>
    <w:rsid w:val="003C0275"/>
    <w:rsid w:val="003C2BEA"/>
    <w:rsid w:val="003C5A88"/>
    <w:rsid w:val="003C740B"/>
    <w:rsid w:val="003E1BEA"/>
    <w:rsid w:val="003E53E5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3F4E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A7EF4"/>
    <w:rsid w:val="004C1ADB"/>
    <w:rsid w:val="004D4BE3"/>
    <w:rsid w:val="004E3E02"/>
    <w:rsid w:val="004E5367"/>
    <w:rsid w:val="004F33C4"/>
    <w:rsid w:val="004F3CE3"/>
    <w:rsid w:val="00502ABD"/>
    <w:rsid w:val="00503F4F"/>
    <w:rsid w:val="005069B4"/>
    <w:rsid w:val="005123B1"/>
    <w:rsid w:val="00515024"/>
    <w:rsid w:val="005233C3"/>
    <w:rsid w:val="00535D0F"/>
    <w:rsid w:val="005507A3"/>
    <w:rsid w:val="00552A8C"/>
    <w:rsid w:val="00560C7E"/>
    <w:rsid w:val="00565385"/>
    <w:rsid w:val="00567C6D"/>
    <w:rsid w:val="005744A0"/>
    <w:rsid w:val="00584FA5"/>
    <w:rsid w:val="005851B6"/>
    <w:rsid w:val="00590A4A"/>
    <w:rsid w:val="005965CA"/>
    <w:rsid w:val="005B05B1"/>
    <w:rsid w:val="005B3130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7A2"/>
    <w:rsid w:val="00614E32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3B08"/>
    <w:rsid w:val="00693F1B"/>
    <w:rsid w:val="006A36FD"/>
    <w:rsid w:val="006A424D"/>
    <w:rsid w:val="006A57BB"/>
    <w:rsid w:val="006B4AF9"/>
    <w:rsid w:val="006C30C7"/>
    <w:rsid w:val="006D0475"/>
    <w:rsid w:val="006D2C09"/>
    <w:rsid w:val="006E534E"/>
    <w:rsid w:val="006E542D"/>
    <w:rsid w:val="006F118B"/>
    <w:rsid w:val="006F71A7"/>
    <w:rsid w:val="00716738"/>
    <w:rsid w:val="007318E1"/>
    <w:rsid w:val="007347A2"/>
    <w:rsid w:val="00742382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6854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371C0"/>
    <w:rsid w:val="0084505E"/>
    <w:rsid w:val="0085244C"/>
    <w:rsid w:val="008528F0"/>
    <w:rsid w:val="008550FF"/>
    <w:rsid w:val="008556E9"/>
    <w:rsid w:val="008727FE"/>
    <w:rsid w:val="00872C6E"/>
    <w:rsid w:val="008829C4"/>
    <w:rsid w:val="00883115"/>
    <w:rsid w:val="008A0E0D"/>
    <w:rsid w:val="008A15E4"/>
    <w:rsid w:val="008A4C81"/>
    <w:rsid w:val="008A5F50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07F01"/>
    <w:rsid w:val="00912947"/>
    <w:rsid w:val="009219A4"/>
    <w:rsid w:val="00924FAB"/>
    <w:rsid w:val="00927F64"/>
    <w:rsid w:val="00930D03"/>
    <w:rsid w:val="00947E54"/>
    <w:rsid w:val="00953C08"/>
    <w:rsid w:val="00964352"/>
    <w:rsid w:val="00966BDD"/>
    <w:rsid w:val="009813FF"/>
    <w:rsid w:val="00983995"/>
    <w:rsid w:val="00987C15"/>
    <w:rsid w:val="00990B7D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4065"/>
    <w:rsid w:val="00A07F44"/>
    <w:rsid w:val="00A11D08"/>
    <w:rsid w:val="00A154E8"/>
    <w:rsid w:val="00A20BB4"/>
    <w:rsid w:val="00A20C87"/>
    <w:rsid w:val="00A3711A"/>
    <w:rsid w:val="00A42050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B1412A"/>
    <w:rsid w:val="00B31392"/>
    <w:rsid w:val="00B359B3"/>
    <w:rsid w:val="00B469CE"/>
    <w:rsid w:val="00B530DA"/>
    <w:rsid w:val="00B5660F"/>
    <w:rsid w:val="00B635DF"/>
    <w:rsid w:val="00B70A74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C01F81"/>
    <w:rsid w:val="00C06B32"/>
    <w:rsid w:val="00C27A87"/>
    <w:rsid w:val="00C34335"/>
    <w:rsid w:val="00C464FD"/>
    <w:rsid w:val="00C54C50"/>
    <w:rsid w:val="00C639D3"/>
    <w:rsid w:val="00C64485"/>
    <w:rsid w:val="00C65EA8"/>
    <w:rsid w:val="00C661B2"/>
    <w:rsid w:val="00C810EA"/>
    <w:rsid w:val="00C8267A"/>
    <w:rsid w:val="00C85101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D1FAA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6AC3"/>
    <w:rsid w:val="00D207B4"/>
    <w:rsid w:val="00D37A4A"/>
    <w:rsid w:val="00D478D7"/>
    <w:rsid w:val="00D56654"/>
    <w:rsid w:val="00D6260C"/>
    <w:rsid w:val="00D82237"/>
    <w:rsid w:val="00D9624F"/>
    <w:rsid w:val="00D97380"/>
    <w:rsid w:val="00DA2E54"/>
    <w:rsid w:val="00DA6DB0"/>
    <w:rsid w:val="00DB6463"/>
    <w:rsid w:val="00DC22FB"/>
    <w:rsid w:val="00DC4066"/>
    <w:rsid w:val="00DD2361"/>
    <w:rsid w:val="00DD2EBE"/>
    <w:rsid w:val="00DD7AB5"/>
    <w:rsid w:val="00DE10EC"/>
    <w:rsid w:val="00DE4552"/>
    <w:rsid w:val="00DE6517"/>
    <w:rsid w:val="00DF2D72"/>
    <w:rsid w:val="00E04353"/>
    <w:rsid w:val="00E063AD"/>
    <w:rsid w:val="00E11097"/>
    <w:rsid w:val="00E11EA4"/>
    <w:rsid w:val="00E14B93"/>
    <w:rsid w:val="00E2013F"/>
    <w:rsid w:val="00E34104"/>
    <w:rsid w:val="00E40F55"/>
    <w:rsid w:val="00E66391"/>
    <w:rsid w:val="00E846AA"/>
    <w:rsid w:val="00E85949"/>
    <w:rsid w:val="00E86BEF"/>
    <w:rsid w:val="00E97B65"/>
    <w:rsid w:val="00EA3B3D"/>
    <w:rsid w:val="00EA7A8B"/>
    <w:rsid w:val="00EB1B90"/>
    <w:rsid w:val="00EC0050"/>
    <w:rsid w:val="00EC12CB"/>
    <w:rsid w:val="00ED3C41"/>
    <w:rsid w:val="00EE1D0B"/>
    <w:rsid w:val="00EE721E"/>
    <w:rsid w:val="00EE788F"/>
    <w:rsid w:val="00EF3701"/>
    <w:rsid w:val="00F0607A"/>
    <w:rsid w:val="00F27A68"/>
    <w:rsid w:val="00F3608D"/>
    <w:rsid w:val="00F408D7"/>
    <w:rsid w:val="00F415F2"/>
    <w:rsid w:val="00F41A83"/>
    <w:rsid w:val="00F44E08"/>
    <w:rsid w:val="00F47230"/>
    <w:rsid w:val="00F51978"/>
    <w:rsid w:val="00F56816"/>
    <w:rsid w:val="00F6088B"/>
    <w:rsid w:val="00F6523D"/>
    <w:rsid w:val="00F70217"/>
    <w:rsid w:val="00F75DB8"/>
    <w:rsid w:val="00F76C98"/>
    <w:rsid w:val="00F80882"/>
    <w:rsid w:val="00F871CE"/>
    <w:rsid w:val="00F9290C"/>
    <w:rsid w:val="00FA4F14"/>
    <w:rsid w:val="00FA552F"/>
    <w:rsid w:val="00FA6E0D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CB26E"/>
  <w15:docId w15:val="{16BA20AE-133A-4D74-8FA7-6002393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character" w:styleId="a8">
    <w:name w:val="Hyperlink"/>
    <w:basedOn w:val="a0"/>
    <w:unhideWhenUsed/>
    <w:rsid w:val="008A5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7F3F4BF0B5C8F9AD63417B1E013427B498641BDB7FD3D02A18A2EE80915CE8D6082CD9040072F3418B8CE8FB2BC8A1822EDCB55D9D99Ey1R4D" TargetMode="External"/><Relationship Id="rId13" Type="http://schemas.openxmlformats.org/officeDocument/2006/relationships/hyperlink" Target="consultantplus://offline/ref=135CA5234A64B877F1960B27E2B87A54F6084CE700E9D361D6FFC454233523D2B9C5AAD698C81DEE5051E376DAEBX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7F3F4BF0B5C8F9AD63417B1E013427B498641BDB7FD3D02A18A2EE80915CE8D6082CD9040072F3218B8CE8FB2BC8A1822EDCB55D9D99Ey1R4D" TargetMode="External"/><Relationship Id="rId12" Type="http://schemas.openxmlformats.org/officeDocument/2006/relationships/hyperlink" Target="consultantplus://offline/ref=B026F724BE3B81B34FD548BF6887EF818CED47E5CA31E56345B464BEA28A54DACFD3BC2F6A1A1E8A00D52C99D7fA0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26F724BE3B81B34FD548BF6887EF818CED46EFC531E56345B464BEA28A54DADDD3E423691B008903C07AC892F4C65DA8ADD8F165BF7D70fC0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1C5CAAB753B1AB4DD37E791AB1A739DD4DC107F4EF3E6D9D99F5C52FBDAE5B5CACE0D6C60BF54347272C9919W7i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C5CAAB753B1AB4DD37E791AB1A739DD4DC107F4EF3E6D9D99F5C52FBDAE5B5CACE0D6C60BF54347272C9919W7iDD" TargetMode="External"/><Relationship Id="rId14" Type="http://schemas.openxmlformats.org/officeDocument/2006/relationships/hyperlink" Target="consultantplus://offline/ref=135CA5234A64B877F1960B27E2B87A54F6084CE700E9D361D6FFC454233523D2B9C5AAD698C81DEE5051E376DAEB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88AE-79FB-49A8-973F-2406E3AD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Андрусяк Сергей Сергеевич</cp:lastModifiedBy>
  <cp:revision>2</cp:revision>
  <cp:lastPrinted>2018-08-14T21:50:00Z</cp:lastPrinted>
  <dcterms:created xsi:type="dcterms:W3CDTF">2018-10-31T05:31:00Z</dcterms:created>
  <dcterms:modified xsi:type="dcterms:W3CDTF">2018-10-31T05:31:00Z</dcterms:modified>
</cp:coreProperties>
</file>