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Look w:val="00A0" w:firstRow="1" w:lastRow="0" w:firstColumn="1" w:lastColumn="0" w:noHBand="0" w:noVBand="0"/>
      </w:tblPr>
      <w:tblGrid>
        <w:gridCol w:w="9571"/>
      </w:tblGrid>
      <w:tr w:rsidR="00F37466" w:rsidRPr="007066D7" w:rsidTr="002810BB">
        <w:trPr>
          <w:trHeight w:val="2836"/>
        </w:trPr>
        <w:tc>
          <w:tcPr>
            <w:tcW w:w="9571" w:type="dxa"/>
          </w:tcPr>
          <w:tbl>
            <w:tblPr>
              <w:tblW w:w="0" w:type="auto"/>
              <w:tblLook w:val="00A0" w:firstRow="1" w:lastRow="0" w:firstColumn="1" w:lastColumn="0" w:noHBand="0" w:noVBand="0"/>
            </w:tblPr>
            <w:tblGrid>
              <w:gridCol w:w="9355"/>
            </w:tblGrid>
            <w:tr w:rsidR="00A137F0" w:rsidRPr="007066D7" w:rsidTr="00534D11">
              <w:trPr>
                <w:trHeight w:val="1105"/>
              </w:trPr>
              <w:tc>
                <w:tcPr>
                  <w:tcW w:w="9571" w:type="dxa"/>
                </w:tcPr>
                <w:p w:rsidR="00A137F0" w:rsidRPr="007066D7" w:rsidRDefault="003F401B" w:rsidP="00534D11">
                  <w:pPr>
                    <w:jc w:val="center"/>
                    <w:rPr>
                      <w:sz w:val="28"/>
                      <w:szCs w:val="28"/>
                    </w:rPr>
                  </w:pPr>
                  <w:r w:rsidRPr="007066D7">
                    <w:rPr>
                      <w:noProof/>
                    </w:rPr>
                    <w:drawing>
                      <wp:inline distT="0" distB="0" distL="0" distR="0" wp14:anchorId="6CDF958B" wp14:editId="5878DE05">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bl>
          <w:p w:rsidR="00A137F0" w:rsidRPr="007066D7" w:rsidRDefault="00A137F0" w:rsidP="00A137F0">
            <w:pPr>
              <w:rPr>
                <w:sz w:val="28"/>
                <w:szCs w:val="28"/>
              </w:rPr>
            </w:pPr>
            <w:r w:rsidRPr="007066D7">
              <w:rPr>
                <w:sz w:val="28"/>
                <w:szCs w:val="28"/>
              </w:rPr>
              <w:t xml:space="preserve">                                                                                                                                                                                                                                                                                    </w:t>
            </w:r>
          </w:p>
          <w:p w:rsidR="00A137F0" w:rsidRPr="007066D7" w:rsidRDefault="00A137F0" w:rsidP="00A137F0">
            <w:pPr>
              <w:jc w:val="center"/>
              <w:rPr>
                <w:b/>
                <w:bCs/>
                <w:sz w:val="28"/>
                <w:szCs w:val="28"/>
              </w:rPr>
            </w:pPr>
            <w:r w:rsidRPr="007066D7">
              <w:rPr>
                <w:b/>
                <w:bCs/>
                <w:sz w:val="28"/>
                <w:szCs w:val="28"/>
              </w:rPr>
              <w:t>РЕГИОНАЛЬНАЯ СЛУЖБА</w:t>
            </w:r>
          </w:p>
          <w:p w:rsidR="00A137F0" w:rsidRPr="007066D7" w:rsidRDefault="00A137F0" w:rsidP="00A137F0">
            <w:pPr>
              <w:jc w:val="center"/>
              <w:rPr>
                <w:b/>
                <w:bCs/>
                <w:sz w:val="28"/>
                <w:szCs w:val="28"/>
              </w:rPr>
            </w:pPr>
            <w:r w:rsidRPr="007066D7">
              <w:rPr>
                <w:b/>
                <w:bCs/>
                <w:sz w:val="28"/>
                <w:szCs w:val="28"/>
              </w:rPr>
              <w:t>ПО ТАРИФАМ И ЦЕНАМ КАМЧАТСКОГО КРАЯ</w:t>
            </w:r>
          </w:p>
          <w:p w:rsidR="00A137F0" w:rsidRPr="007066D7" w:rsidRDefault="00A137F0" w:rsidP="00A137F0">
            <w:pPr>
              <w:jc w:val="center"/>
              <w:rPr>
                <w:b/>
                <w:bCs/>
                <w:sz w:val="28"/>
                <w:szCs w:val="28"/>
              </w:rPr>
            </w:pPr>
          </w:p>
          <w:p w:rsidR="00A137F0" w:rsidRPr="007066D7" w:rsidRDefault="00ED3B24" w:rsidP="00A137F0">
            <w:pPr>
              <w:jc w:val="center"/>
              <w:rPr>
                <w:b/>
                <w:bCs/>
                <w:spacing w:val="40"/>
                <w:sz w:val="28"/>
                <w:szCs w:val="28"/>
              </w:rPr>
            </w:pPr>
            <w:r>
              <w:rPr>
                <w:b/>
                <w:bCs/>
                <w:spacing w:val="40"/>
                <w:sz w:val="28"/>
                <w:szCs w:val="28"/>
              </w:rPr>
              <w:t xml:space="preserve">ПРОЕКТ </w:t>
            </w:r>
            <w:r w:rsidR="003F7502">
              <w:rPr>
                <w:b/>
                <w:bCs/>
                <w:spacing w:val="40"/>
                <w:sz w:val="28"/>
                <w:szCs w:val="28"/>
              </w:rPr>
              <w:t>ПОСТАНОВЛЕНИ</w:t>
            </w:r>
            <w:r>
              <w:rPr>
                <w:b/>
                <w:bCs/>
                <w:spacing w:val="40"/>
                <w:sz w:val="28"/>
                <w:szCs w:val="28"/>
              </w:rPr>
              <w:t>Я</w:t>
            </w:r>
          </w:p>
          <w:p w:rsidR="00A137F0" w:rsidRPr="007066D7" w:rsidRDefault="00A137F0" w:rsidP="00A137F0">
            <w:pPr>
              <w:spacing w:line="360" w:lineRule="auto"/>
              <w:jc w:val="center"/>
              <w:rPr>
                <w:sz w:val="16"/>
                <w:szCs w:val="16"/>
              </w:rPr>
            </w:pPr>
          </w:p>
          <w:tbl>
            <w:tblPr>
              <w:tblW w:w="0" w:type="auto"/>
              <w:tblLook w:val="0000" w:firstRow="0" w:lastRow="0" w:firstColumn="0" w:lastColumn="0" w:noHBand="0" w:noVBand="0"/>
            </w:tblPr>
            <w:tblGrid>
              <w:gridCol w:w="2977"/>
              <w:gridCol w:w="445"/>
              <w:gridCol w:w="993"/>
              <w:gridCol w:w="85"/>
            </w:tblGrid>
            <w:tr w:rsidR="00A137F0" w:rsidRPr="007066D7" w:rsidTr="001252AE">
              <w:trPr>
                <w:gridAfter w:val="1"/>
                <w:wAfter w:w="85" w:type="dxa"/>
              </w:trPr>
              <w:tc>
                <w:tcPr>
                  <w:tcW w:w="2977" w:type="dxa"/>
                  <w:tcBorders>
                    <w:bottom w:val="single" w:sz="4" w:space="0" w:color="auto"/>
                  </w:tcBorders>
                </w:tcPr>
                <w:p w:rsidR="00A137F0" w:rsidRPr="007066D7" w:rsidRDefault="00ED3B24" w:rsidP="00ED3B24">
                  <w:pPr>
                    <w:jc w:val="center"/>
                  </w:pPr>
                  <w:r>
                    <w:t>ХХ</w:t>
                  </w:r>
                  <w:r w:rsidR="008942FD">
                    <w:t>.</w:t>
                  </w:r>
                  <w:r w:rsidR="003E6AD4">
                    <w:t>1</w:t>
                  </w:r>
                  <w:r>
                    <w:t>0</w:t>
                  </w:r>
                  <w:r w:rsidR="008942FD">
                    <w:t>.201</w:t>
                  </w:r>
                  <w:r>
                    <w:t>8</w:t>
                  </w:r>
                </w:p>
              </w:tc>
              <w:tc>
                <w:tcPr>
                  <w:tcW w:w="445" w:type="dxa"/>
                </w:tcPr>
                <w:p w:rsidR="00A137F0" w:rsidRPr="007066D7" w:rsidRDefault="00A137F0" w:rsidP="00534D11">
                  <w:pPr>
                    <w:jc w:val="both"/>
                  </w:pPr>
                  <w:r w:rsidRPr="007066D7">
                    <w:t>№</w:t>
                  </w:r>
                </w:p>
              </w:tc>
              <w:tc>
                <w:tcPr>
                  <w:tcW w:w="993" w:type="dxa"/>
                  <w:tcBorders>
                    <w:bottom w:val="single" w:sz="4" w:space="0" w:color="auto"/>
                  </w:tcBorders>
                </w:tcPr>
                <w:p w:rsidR="00A137F0" w:rsidRPr="007066D7" w:rsidRDefault="00ED3B24" w:rsidP="00A010F3">
                  <w:pPr>
                    <w:jc w:val="center"/>
                  </w:pPr>
                  <w:r>
                    <w:t>ХХ</w:t>
                  </w:r>
                </w:p>
              </w:tc>
            </w:tr>
            <w:tr w:rsidR="00A137F0" w:rsidRPr="007066D7" w:rsidTr="001252AE">
              <w:tblPrEx>
                <w:tblLook w:val="00A0" w:firstRow="1" w:lastRow="0" w:firstColumn="1" w:lastColumn="0" w:noHBand="0" w:noVBand="0"/>
              </w:tblPrEx>
              <w:tc>
                <w:tcPr>
                  <w:tcW w:w="4500" w:type="dxa"/>
                  <w:gridSpan w:val="4"/>
                </w:tcPr>
                <w:p w:rsidR="00DD3B2F" w:rsidRPr="002810BB" w:rsidRDefault="00A137F0" w:rsidP="0080608C">
                  <w:pPr>
                    <w:jc w:val="both"/>
                    <w:rPr>
                      <w:sz w:val="36"/>
                      <w:vertAlign w:val="superscript"/>
                    </w:rPr>
                  </w:pPr>
                  <w:r w:rsidRPr="007066D7">
                    <w:rPr>
                      <w:sz w:val="36"/>
                      <w:vertAlign w:val="superscript"/>
                    </w:rPr>
                    <w:t xml:space="preserve">             г. Петропавловск-Камчатский</w:t>
                  </w:r>
                </w:p>
                <w:p w:rsidR="00ED0933" w:rsidRPr="008942FD" w:rsidRDefault="008942FD" w:rsidP="00E95312">
                  <w:pPr>
                    <w:ind w:left="-108"/>
                    <w:jc w:val="both"/>
                    <w:rPr>
                      <w:sz w:val="28"/>
                      <w:szCs w:val="28"/>
                    </w:rPr>
                  </w:pPr>
                  <w:r w:rsidRPr="00205A32">
                    <w:rPr>
                      <w:sz w:val="28"/>
                      <w:szCs w:val="28"/>
                    </w:rPr>
                    <w:t xml:space="preserve">Об </w:t>
                  </w:r>
                  <w:r w:rsidR="00682CFE" w:rsidRPr="00205A32">
                    <w:rPr>
                      <w:sz w:val="28"/>
                      <w:szCs w:val="28"/>
                    </w:rPr>
                    <w:t xml:space="preserve">утверждении </w:t>
                  </w:r>
                  <w:r w:rsidRPr="00205A32">
                    <w:rPr>
                      <w:sz w:val="28"/>
                      <w:szCs w:val="28"/>
                    </w:rPr>
                    <w:t>тарифов на электрическ</w:t>
                  </w:r>
                  <w:r w:rsidR="00C10B80" w:rsidRPr="00205A32">
                    <w:rPr>
                      <w:sz w:val="28"/>
                      <w:szCs w:val="28"/>
                    </w:rPr>
                    <w:t>ую</w:t>
                  </w:r>
                  <w:r w:rsidRPr="00205A32">
                    <w:rPr>
                      <w:sz w:val="28"/>
                      <w:szCs w:val="28"/>
                    </w:rPr>
                    <w:t xml:space="preserve"> энерги</w:t>
                  </w:r>
                  <w:r w:rsidR="00C10B80" w:rsidRPr="00205A32">
                    <w:rPr>
                      <w:sz w:val="28"/>
                      <w:szCs w:val="28"/>
                    </w:rPr>
                    <w:t>ю</w:t>
                  </w:r>
                  <w:r w:rsidRPr="00205A32">
                    <w:rPr>
                      <w:sz w:val="28"/>
                      <w:szCs w:val="28"/>
                    </w:rPr>
                    <w:t>, поставляем</w:t>
                  </w:r>
                  <w:r w:rsidR="00C10B80" w:rsidRPr="00205A32">
                    <w:rPr>
                      <w:sz w:val="28"/>
                      <w:szCs w:val="28"/>
                    </w:rPr>
                    <w:t>ую</w:t>
                  </w:r>
                  <w:r w:rsidRPr="00205A32">
                    <w:rPr>
                      <w:sz w:val="28"/>
                      <w:szCs w:val="28"/>
                    </w:rPr>
                    <w:t xml:space="preserve"> </w:t>
                  </w:r>
                  <w:r w:rsidR="00E95312">
                    <w:rPr>
                      <w:bCs/>
                      <w:sz w:val="28"/>
                      <w:szCs w:val="28"/>
                    </w:rPr>
                    <w:t>ОО</w:t>
                  </w:r>
                  <w:r w:rsidRPr="00205A32">
                    <w:rPr>
                      <w:bCs/>
                      <w:sz w:val="28"/>
                      <w:szCs w:val="28"/>
                    </w:rPr>
                    <w:t>О «</w:t>
                  </w:r>
                  <w:r w:rsidR="00E95312">
                    <w:rPr>
                      <w:bCs/>
                      <w:sz w:val="28"/>
                      <w:szCs w:val="28"/>
                    </w:rPr>
                    <w:t>Э</w:t>
                  </w:r>
                  <w:r w:rsidRPr="00205A32">
                    <w:rPr>
                      <w:bCs/>
                      <w:sz w:val="28"/>
                      <w:szCs w:val="28"/>
                    </w:rPr>
                    <w:t>нерго</w:t>
                  </w:r>
                  <w:r w:rsidR="00E95312">
                    <w:rPr>
                      <w:bCs/>
                      <w:sz w:val="28"/>
                      <w:szCs w:val="28"/>
                    </w:rPr>
                    <w:t>прогноз</w:t>
                  </w:r>
                  <w:r w:rsidRPr="00205A32">
                    <w:rPr>
                      <w:bCs/>
                      <w:sz w:val="28"/>
                      <w:szCs w:val="28"/>
                    </w:rPr>
                    <w:t>» по объектам электроснабжения горнодобывающих предприятий на 201</w:t>
                  </w:r>
                  <w:r w:rsidR="00ED3B24">
                    <w:rPr>
                      <w:bCs/>
                      <w:sz w:val="28"/>
                      <w:szCs w:val="28"/>
                    </w:rPr>
                    <w:t>9</w:t>
                  </w:r>
                  <w:r w:rsidRPr="00205A32">
                    <w:rPr>
                      <w:bCs/>
                      <w:sz w:val="28"/>
                      <w:szCs w:val="28"/>
                    </w:rPr>
                    <w:t xml:space="preserve"> год</w:t>
                  </w:r>
                </w:p>
              </w:tc>
            </w:tr>
          </w:tbl>
          <w:p w:rsidR="00D40B12" w:rsidRPr="007066D7" w:rsidRDefault="00D40B12" w:rsidP="00D40B12">
            <w:pPr>
              <w:ind w:firstLine="709"/>
              <w:jc w:val="both"/>
              <w:rPr>
                <w:sz w:val="28"/>
                <w:szCs w:val="28"/>
              </w:rPr>
            </w:pPr>
          </w:p>
          <w:p w:rsidR="00B90C3A" w:rsidRPr="00BE57A3" w:rsidRDefault="003E6AD4" w:rsidP="00B31084">
            <w:pPr>
              <w:ind w:firstLine="709"/>
              <w:jc w:val="both"/>
              <w:rPr>
                <w:sz w:val="28"/>
                <w:szCs w:val="28"/>
              </w:rPr>
            </w:pPr>
            <w:r w:rsidRPr="003E6AD4">
              <w:rPr>
                <w:sz w:val="28"/>
                <w:szCs w:val="28"/>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Федеральной службы по тарифам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от 28.03.2013 №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 </w:t>
            </w:r>
            <w:r w:rsidRPr="00ED3B24">
              <w:rPr>
                <w:sz w:val="28"/>
                <w:szCs w:val="28"/>
                <w:highlight w:val="yellow"/>
              </w:rPr>
              <w:t>приказами Федеральной антимонопольной службы от 30.06.2017 № 875/17-ДСП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2018 год», от 13.10.2017 № 1354/17 «О предельных минимальных и максимальных уровнях тарифов на электрическую энергию (мощность) на 2018 год»</w:t>
            </w:r>
            <w:r w:rsidRPr="003E6AD4">
              <w:rPr>
                <w:sz w:val="28"/>
                <w:szCs w:val="28"/>
              </w:rPr>
              <w:t>, постановлением Правительства Камчатского края от 19.12.2008 № 424-П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w:t>
            </w:r>
            <w:r w:rsidR="002810BB">
              <w:rPr>
                <w:sz w:val="28"/>
                <w:szCs w:val="28"/>
              </w:rPr>
              <w:t xml:space="preserve">о края от </w:t>
            </w:r>
            <w:r w:rsidR="00ED3B24">
              <w:rPr>
                <w:sz w:val="28"/>
                <w:szCs w:val="28"/>
              </w:rPr>
              <w:t>ХХ</w:t>
            </w:r>
            <w:r w:rsidR="002810BB">
              <w:rPr>
                <w:sz w:val="28"/>
                <w:szCs w:val="28"/>
              </w:rPr>
              <w:t>.1</w:t>
            </w:r>
            <w:r w:rsidR="00ED3B24">
              <w:rPr>
                <w:sz w:val="28"/>
                <w:szCs w:val="28"/>
              </w:rPr>
              <w:t>0</w:t>
            </w:r>
            <w:r w:rsidR="002810BB">
              <w:rPr>
                <w:sz w:val="28"/>
                <w:szCs w:val="28"/>
              </w:rPr>
              <w:t>.201</w:t>
            </w:r>
            <w:r w:rsidR="00ED3B24">
              <w:rPr>
                <w:sz w:val="28"/>
                <w:szCs w:val="28"/>
              </w:rPr>
              <w:t>8 № ХХ</w:t>
            </w:r>
          </w:p>
          <w:p w:rsidR="00315D2D" w:rsidRPr="00BE57A3" w:rsidRDefault="00315D2D" w:rsidP="00B90C3A">
            <w:pPr>
              <w:ind w:firstLine="709"/>
              <w:rPr>
                <w:sz w:val="28"/>
                <w:szCs w:val="28"/>
              </w:rPr>
            </w:pPr>
          </w:p>
          <w:p w:rsidR="00E8622D" w:rsidRDefault="00E8622D" w:rsidP="00E8622D">
            <w:pPr>
              <w:ind w:firstLine="709"/>
              <w:jc w:val="both"/>
              <w:rPr>
                <w:sz w:val="28"/>
                <w:szCs w:val="28"/>
              </w:rPr>
            </w:pPr>
            <w:r w:rsidRPr="00900A62">
              <w:rPr>
                <w:sz w:val="28"/>
                <w:szCs w:val="28"/>
              </w:rPr>
              <w:t>ПОСТАНОВЛЯЮ:</w:t>
            </w:r>
          </w:p>
          <w:p w:rsidR="00F41BD6" w:rsidRPr="00900A62" w:rsidRDefault="00F41BD6" w:rsidP="00E8622D">
            <w:pPr>
              <w:ind w:firstLine="709"/>
              <w:jc w:val="both"/>
              <w:rPr>
                <w:sz w:val="28"/>
                <w:szCs w:val="28"/>
              </w:rPr>
            </w:pPr>
          </w:p>
          <w:p w:rsidR="00781044" w:rsidRPr="00781044" w:rsidRDefault="00F41BD6" w:rsidP="00F41BD6">
            <w:pPr>
              <w:ind w:firstLine="709"/>
              <w:jc w:val="both"/>
              <w:rPr>
                <w:b/>
                <w:bCs/>
                <w:sz w:val="28"/>
                <w:szCs w:val="28"/>
              </w:rPr>
            </w:pPr>
            <w:r w:rsidRPr="00ED3B24">
              <w:rPr>
                <w:rFonts w:eastAsia="Calibri"/>
                <w:sz w:val="28"/>
                <w:szCs w:val="28"/>
                <w:highlight w:val="yellow"/>
                <w:lang w:eastAsia="en-US"/>
              </w:rPr>
              <w:t>1. Утвердить и ввести в действие с 01 января 201</w:t>
            </w:r>
            <w:r w:rsidR="00ED3B24" w:rsidRPr="00ED3B24">
              <w:rPr>
                <w:rFonts w:eastAsia="Calibri"/>
                <w:sz w:val="28"/>
                <w:szCs w:val="28"/>
                <w:highlight w:val="yellow"/>
                <w:lang w:eastAsia="en-US"/>
              </w:rPr>
              <w:t>9</w:t>
            </w:r>
            <w:r w:rsidRPr="00ED3B24">
              <w:rPr>
                <w:rFonts w:eastAsia="Calibri"/>
                <w:sz w:val="28"/>
                <w:szCs w:val="28"/>
                <w:highlight w:val="yellow"/>
                <w:lang w:eastAsia="en-US"/>
              </w:rPr>
              <w:t xml:space="preserve"> года по 31 декабря 201</w:t>
            </w:r>
            <w:r w:rsidR="00ED3B24" w:rsidRPr="00ED3B24">
              <w:rPr>
                <w:rFonts w:eastAsia="Calibri"/>
                <w:sz w:val="28"/>
                <w:szCs w:val="28"/>
                <w:highlight w:val="yellow"/>
                <w:lang w:eastAsia="en-US"/>
              </w:rPr>
              <w:t>9</w:t>
            </w:r>
            <w:r w:rsidRPr="00ED3B24">
              <w:rPr>
                <w:rFonts w:eastAsia="Calibri"/>
                <w:sz w:val="28"/>
                <w:szCs w:val="28"/>
                <w:highlight w:val="yellow"/>
                <w:lang w:eastAsia="en-US"/>
              </w:rPr>
              <w:t xml:space="preserve"> года </w:t>
            </w:r>
            <w:r w:rsidR="004F0BC7" w:rsidRPr="00ED3B24">
              <w:rPr>
                <w:sz w:val="28"/>
                <w:szCs w:val="28"/>
                <w:highlight w:val="yellow"/>
              </w:rPr>
              <w:t xml:space="preserve">экономически обоснованные тарифы на электрическую энергию (мощность), поставляемую </w:t>
            </w:r>
            <w:r w:rsidR="00E95312">
              <w:rPr>
                <w:sz w:val="28"/>
                <w:szCs w:val="28"/>
                <w:highlight w:val="yellow"/>
              </w:rPr>
              <w:t>ОО</w:t>
            </w:r>
            <w:r w:rsidR="004F0BC7" w:rsidRPr="00ED3B24">
              <w:rPr>
                <w:sz w:val="28"/>
                <w:szCs w:val="28"/>
                <w:highlight w:val="yellow"/>
              </w:rPr>
              <w:t>О «</w:t>
            </w:r>
            <w:r w:rsidR="00E95312">
              <w:rPr>
                <w:sz w:val="28"/>
                <w:szCs w:val="28"/>
                <w:highlight w:val="yellow"/>
              </w:rPr>
              <w:t>Энергопрогноз</w:t>
            </w:r>
            <w:r w:rsidR="004F0BC7" w:rsidRPr="00ED3B24">
              <w:rPr>
                <w:sz w:val="28"/>
                <w:szCs w:val="28"/>
                <w:highlight w:val="yellow"/>
              </w:rPr>
              <w:t>»</w:t>
            </w:r>
            <w:r w:rsidRPr="00ED3B24">
              <w:rPr>
                <w:b/>
                <w:sz w:val="28"/>
                <w:szCs w:val="28"/>
                <w:highlight w:val="yellow"/>
              </w:rPr>
              <w:t xml:space="preserve"> </w:t>
            </w:r>
            <w:r w:rsidRPr="00ED3B24">
              <w:rPr>
                <w:sz w:val="28"/>
                <w:szCs w:val="28"/>
                <w:highlight w:val="yellow"/>
              </w:rPr>
              <w:t>по объектам электроснабжения горнодобывающих предприятий</w:t>
            </w:r>
            <w:r w:rsidR="004F0BC7" w:rsidRPr="00ED3B24">
              <w:rPr>
                <w:sz w:val="28"/>
                <w:szCs w:val="28"/>
                <w:highlight w:val="yellow"/>
              </w:rPr>
              <w:t xml:space="preserve"> </w:t>
            </w:r>
            <w:r w:rsidR="009269CE" w:rsidRPr="00ED3B24">
              <w:rPr>
                <w:sz w:val="28"/>
                <w:szCs w:val="28"/>
                <w:highlight w:val="yellow"/>
              </w:rPr>
              <w:t>(</w:t>
            </w:r>
            <w:r w:rsidRPr="00ED3B24">
              <w:rPr>
                <w:sz w:val="28"/>
                <w:szCs w:val="28"/>
                <w:highlight w:val="yellow"/>
              </w:rPr>
              <w:t>Карагинский муниципальный район Камчатского края, месторождение «Озерновское»</w:t>
            </w:r>
            <w:r w:rsidRPr="00ED3B24">
              <w:rPr>
                <w:b/>
                <w:sz w:val="28"/>
                <w:szCs w:val="28"/>
                <w:highlight w:val="yellow"/>
              </w:rPr>
              <w:t xml:space="preserve">, </w:t>
            </w:r>
            <w:r w:rsidRPr="00ED3B24">
              <w:rPr>
                <w:sz w:val="28"/>
                <w:szCs w:val="28"/>
                <w:highlight w:val="yellow"/>
              </w:rPr>
              <w:t xml:space="preserve">Олюторский муниципальный район Камчатского края, месторождение «Ледяной», месторождение </w:t>
            </w:r>
            <w:r w:rsidRPr="00ED3B24">
              <w:rPr>
                <w:sz w:val="28"/>
                <w:szCs w:val="28"/>
                <w:highlight w:val="yellow"/>
              </w:rPr>
              <w:lastRenderedPageBreak/>
              <w:t>«Левтыринываям»</w:t>
            </w:r>
            <w:r w:rsidRPr="00ED3B24">
              <w:rPr>
                <w:b/>
                <w:bCs/>
                <w:sz w:val="28"/>
                <w:szCs w:val="28"/>
                <w:highlight w:val="yellow"/>
              </w:rPr>
              <w:t xml:space="preserve">, </w:t>
            </w:r>
            <w:r w:rsidRPr="00ED3B24">
              <w:rPr>
                <w:sz w:val="28"/>
                <w:szCs w:val="28"/>
                <w:highlight w:val="yellow"/>
              </w:rPr>
              <w:t>Быстринский муниципальный район Камчатского края, группа месторождений «Камчатское золото»</w:t>
            </w:r>
            <w:r w:rsidRPr="00ED3B24">
              <w:rPr>
                <w:b/>
                <w:sz w:val="28"/>
                <w:szCs w:val="28"/>
                <w:highlight w:val="yellow"/>
              </w:rPr>
              <w:t xml:space="preserve">, </w:t>
            </w:r>
            <w:r w:rsidRPr="00ED3B24">
              <w:rPr>
                <w:sz w:val="28"/>
                <w:szCs w:val="28"/>
                <w:highlight w:val="yellow"/>
              </w:rPr>
              <w:t>«Камголд»</w:t>
            </w:r>
            <w:r w:rsidR="00535BA7" w:rsidRPr="00ED3B24">
              <w:rPr>
                <w:sz w:val="28"/>
                <w:szCs w:val="28"/>
                <w:highlight w:val="yellow"/>
              </w:rPr>
              <w:t>)</w:t>
            </w:r>
            <w:r w:rsidR="004F0BC7" w:rsidRPr="00ED3B24">
              <w:rPr>
                <w:sz w:val="28"/>
                <w:szCs w:val="28"/>
                <w:highlight w:val="yellow"/>
              </w:rPr>
              <w:t xml:space="preserve"> </w:t>
            </w:r>
            <w:r w:rsidR="00535BA7" w:rsidRPr="00ED3B24">
              <w:rPr>
                <w:sz w:val="28"/>
                <w:szCs w:val="28"/>
                <w:highlight w:val="yellow"/>
              </w:rPr>
              <w:t xml:space="preserve">покупателям на розничном рынке в технологически изолированной электроэнергетической системе по договорам купли-продажи (договорам энергоснабжения), без дифференциации по уровням напряжения, </w:t>
            </w:r>
            <w:r w:rsidRPr="00ED3B24">
              <w:rPr>
                <w:sz w:val="28"/>
                <w:highlight w:val="yellow"/>
              </w:rPr>
              <w:t xml:space="preserve">с календарной разбивкой </w:t>
            </w:r>
            <w:r w:rsidR="002810BB" w:rsidRPr="00ED3B24">
              <w:rPr>
                <w:sz w:val="28"/>
                <w:szCs w:val="28"/>
                <w:highlight w:val="yellow"/>
              </w:rPr>
              <w:t>согласно приложению</w:t>
            </w:r>
            <w:r w:rsidR="004F0BC7" w:rsidRPr="00ED3B24">
              <w:rPr>
                <w:sz w:val="28"/>
                <w:szCs w:val="28"/>
                <w:highlight w:val="yellow"/>
              </w:rPr>
              <w:t>;</w:t>
            </w:r>
          </w:p>
          <w:p w:rsidR="00F41BD6" w:rsidRDefault="003E6AD4" w:rsidP="00F41BD6">
            <w:pPr>
              <w:pStyle w:val="af7"/>
              <w:tabs>
                <w:tab w:val="left" w:pos="1168"/>
              </w:tabs>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31656B">
              <w:rPr>
                <w:rFonts w:ascii="Times New Roman" w:hAnsi="Times New Roman"/>
                <w:sz w:val="28"/>
                <w:szCs w:val="28"/>
              </w:rPr>
              <w:t>.</w:t>
            </w:r>
            <w:r w:rsidR="00E34119">
              <w:rPr>
                <w:rFonts w:ascii="Times New Roman" w:hAnsi="Times New Roman"/>
                <w:sz w:val="28"/>
                <w:szCs w:val="28"/>
              </w:rPr>
              <w:t xml:space="preserve"> </w:t>
            </w:r>
            <w:r w:rsidR="00FB2D16" w:rsidRPr="00FB2D16">
              <w:rPr>
                <w:rFonts w:ascii="Times New Roman" w:hAnsi="Times New Roman"/>
                <w:sz w:val="28"/>
                <w:szCs w:val="28"/>
              </w:rPr>
              <w:t>Настоящее постановление вступает в силу со дня его официального опубликования.</w:t>
            </w:r>
          </w:p>
          <w:p w:rsidR="002826E8" w:rsidRDefault="002826E8" w:rsidP="00F41BD6">
            <w:pPr>
              <w:pStyle w:val="af7"/>
              <w:tabs>
                <w:tab w:val="left" w:pos="1168"/>
              </w:tabs>
              <w:spacing w:after="0" w:line="240" w:lineRule="auto"/>
              <w:ind w:left="0" w:firstLine="709"/>
              <w:jc w:val="both"/>
              <w:rPr>
                <w:sz w:val="28"/>
                <w:szCs w:val="28"/>
              </w:rPr>
            </w:pPr>
          </w:p>
          <w:p w:rsidR="00F41BD6" w:rsidRDefault="00F41BD6" w:rsidP="00DD3B2F">
            <w:pPr>
              <w:ind w:firstLine="709"/>
              <w:jc w:val="both"/>
              <w:rPr>
                <w:sz w:val="28"/>
                <w:szCs w:val="28"/>
              </w:rPr>
            </w:pPr>
          </w:p>
          <w:p w:rsidR="002826E8" w:rsidRDefault="002826E8" w:rsidP="00DD3B2F">
            <w:pPr>
              <w:ind w:firstLine="709"/>
              <w:jc w:val="both"/>
              <w:rPr>
                <w:sz w:val="28"/>
                <w:szCs w:val="28"/>
              </w:rPr>
            </w:pPr>
          </w:p>
          <w:p w:rsidR="00EE10C2" w:rsidRDefault="002F3DCB" w:rsidP="00E0021E">
            <w:pPr>
              <w:jc w:val="both"/>
              <w:rPr>
                <w:sz w:val="28"/>
                <w:szCs w:val="28"/>
              </w:rPr>
            </w:pPr>
            <w:r w:rsidRPr="007066D7">
              <w:rPr>
                <w:sz w:val="28"/>
                <w:szCs w:val="28"/>
              </w:rPr>
              <w:t>Руководитель</w:t>
            </w:r>
            <w:r w:rsidR="00E0021E" w:rsidRPr="007066D7">
              <w:rPr>
                <w:sz w:val="28"/>
                <w:szCs w:val="28"/>
              </w:rPr>
              <w:t xml:space="preserve"> </w:t>
            </w:r>
            <w:r w:rsidR="00EE10C2">
              <w:rPr>
                <w:sz w:val="28"/>
                <w:szCs w:val="28"/>
              </w:rPr>
              <w:t>Региональной службы</w:t>
            </w:r>
          </w:p>
          <w:p w:rsidR="00C61BCE" w:rsidRDefault="00EE10C2" w:rsidP="00EE10C2">
            <w:pPr>
              <w:jc w:val="both"/>
              <w:rPr>
                <w:sz w:val="28"/>
                <w:szCs w:val="28"/>
              </w:rPr>
            </w:pPr>
            <w:r>
              <w:rPr>
                <w:sz w:val="28"/>
                <w:szCs w:val="28"/>
              </w:rPr>
              <w:t xml:space="preserve">по тарифам и ценам Камчатского края                              </w:t>
            </w:r>
            <w:r w:rsidR="00F41B23" w:rsidRPr="00F41B23">
              <w:rPr>
                <w:sz w:val="28"/>
                <w:szCs w:val="28"/>
              </w:rPr>
              <w:t xml:space="preserve">    </w:t>
            </w:r>
            <w:r w:rsidR="002810BB">
              <w:rPr>
                <w:sz w:val="28"/>
                <w:szCs w:val="28"/>
              </w:rPr>
              <w:t xml:space="preserve">       </w:t>
            </w:r>
            <w:r w:rsidR="00DB4DF1">
              <w:rPr>
                <w:sz w:val="28"/>
                <w:szCs w:val="28"/>
              </w:rPr>
              <w:t xml:space="preserve">     </w:t>
            </w:r>
            <w:r>
              <w:rPr>
                <w:sz w:val="28"/>
                <w:szCs w:val="28"/>
              </w:rPr>
              <w:t>О.Н.</w:t>
            </w:r>
            <w:r w:rsidR="002810BB">
              <w:rPr>
                <w:sz w:val="28"/>
                <w:szCs w:val="28"/>
              </w:rPr>
              <w:t xml:space="preserve"> </w:t>
            </w:r>
            <w:r>
              <w:rPr>
                <w:sz w:val="28"/>
                <w:szCs w:val="28"/>
              </w:rPr>
              <w:t xml:space="preserve">Кукиль  </w:t>
            </w:r>
          </w:p>
          <w:p w:rsidR="00281A9D" w:rsidRPr="007066D7" w:rsidRDefault="00EE10C2" w:rsidP="00EE10C2">
            <w:pPr>
              <w:jc w:val="both"/>
              <w:rPr>
                <w:sz w:val="28"/>
                <w:szCs w:val="28"/>
              </w:rPr>
            </w:pPr>
            <w:r>
              <w:rPr>
                <w:sz w:val="28"/>
                <w:szCs w:val="28"/>
              </w:rPr>
              <w:t xml:space="preserve">   </w:t>
            </w:r>
          </w:p>
          <w:p w:rsidR="00415B51" w:rsidRDefault="00415B51" w:rsidP="00EE10C2">
            <w:pPr>
              <w:jc w:val="both"/>
              <w:rPr>
                <w:sz w:val="28"/>
                <w:szCs w:val="28"/>
              </w:rPr>
            </w:pPr>
          </w:p>
          <w:p w:rsidR="00281A9D" w:rsidRDefault="00281A9D"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p w:rsidR="002810BB" w:rsidRDefault="002810BB" w:rsidP="00EE10C2">
            <w:pPr>
              <w:jc w:val="both"/>
              <w:rPr>
                <w:sz w:val="28"/>
                <w:szCs w:val="28"/>
              </w:rPr>
            </w:pPr>
          </w:p>
          <w:p w:rsidR="002810BB" w:rsidRDefault="002810BB" w:rsidP="00EE10C2">
            <w:pPr>
              <w:jc w:val="both"/>
              <w:rPr>
                <w:sz w:val="28"/>
                <w:szCs w:val="28"/>
              </w:rPr>
            </w:pPr>
          </w:p>
          <w:p w:rsidR="002810BB" w:rsidRDefault="002810BB" w:rsidP="00EE10C2">
            <w:pPr>
              <w:jc w:val="both"/>
              <w:rPr>
                <w:sz w:val="28"/>
                <w:szCs w:val="28"/>
              </w:rPr>
            </w:pPr>
          </w:p>
          <w:p w:rsidR="002810BB" w:rsidRDefault="002810BB" w:rsidP="00EE10C2">
            <w:pPr>
              <w:jc w:val="both"/>
              <w:rPr>
                <w:sz w:val="28"/>
                <w:szCs w:val="28"/>
              </w:rPr>
            </w:pPr>
          </w:p>
          <w:p w:rsidR="002810BB" w:rsidRDefault="002810BB" w:rsidP="00EE10C2">
            <w:pPr>
              <w:jc w:val="both"/>
              <w:rPr>
                <w:sz w:val="28"/>
                <w:szCs w:val="28"/>
              </w:rPr>
            </w:pPr>
          </w:p>
          <w:p w:rsidR="002810BB" w:rsidRDefault="002810BB" w:rsidP="00EE10C2">
            <w:pPr>
              <w:jc w:val="both"/>
              <w:rPr>
                <w:sz w:val="28"/>
                <w:szCs w:val="28"/>
              </w:rPr>
            </w:pPr>
          </w:p>
          <w:p w:rsidR="002826E8" w:rsidRDefault="002826E8" w:rsidP="00EE10C2">
            <w:pPr>
              <w:jc w:val="both"/>
              <w:rPr>
                <w:sz w:val="28"/>
                <w:szCs w:val="28"/>
              </w:rPr>
            </w:pPr>
          </w:p>
          <w:p w:rsidR="002826E8" w:rsidRDefault="002826E8" w:rsidP="00EE10C2">
            <w:pPr>
              <w:jc w:val="both"/>
              <w:rPr>
                <w:sz w:val="28"/>
                <w:szCs w:val="28"/>
              </w:rPr>
            </w:pPr>
          </w:p>
          <w:tbl>
            <w:tblPr>
              <w:tblpPr w:leftFromText="180" w:rightFromText="180" w:vertAnchor="text" w:horzAnchor="margin" w:tblpXSpec="right" w:tblpY="-247"/>
              <w:tblOverlap w:val="never"/>
              <w:tblW w:w="0" w:type="auto"/>
              <w:tblLook w:val="04A0" w:firstRow="1" w:lastRow="0" w:firstColumn="1" w:lastColumn="0" w:noHBand="0" w:noVBand="1"/>
            </w:tblPr>
            <w:tblGrid>
              <w:gridCol w:w="5322"/>
            </w:tblGrid>
            <w:tr w:rsidR="002826E8" w:rsidRPr="007066D7" w:rsidTr="002826E8">
              <w:tc>
                <w:tcPr>
                  <w:tcW w:w="5322" w:type="dxa"/>
                  <w:shd w:val="clear" w:color="auto" w:fill="auto"/>
                </w:tcPr>
                <w:p w:rsidR="00F41BD6" w:rsidRDefault="002826E8" w:rsidP="002826E8">
                  <w:pPr>
                    <w:rPr>
                      <w:sz w:val="28"/>
                      <w:szCs w:val="28"/>
                    </w:rPr>
                  </w:pPr>
                  <w:r w:rsidRPr="007066D7">
                    <w:rPr>
                      <w:sz w:val="28"/>
                      <w:szCs w:val="28"/>
                    </w:rPr>
                    <w:lastRenderedPageBreak/>
                    <w:t xml:space="preserve">Приложение </w:t>
                  </w:r>
                </w:p>
                <w:p w:rsidR="002826E8" w:rsidRPr="007066D7" w:rsidRDefault="002826E8" w:rsidP="002826E8">
                  <w:pPr>
                    <w:rPr>
                      <w:sz w:val="28"/>
                      <w:szCs w:val="28"/>
                    </w:rPr>
                  </w:pPr>
                  <w:r w:rsidRPr="007066D7">
                    <w:rPr>
                      <w:sz w:val="28"/>
                      <w:szCs w:val="28"/>
                    </w:rPr>
                    <w:t xml:space="preserve">к постановлению Региональной службы по тарифам и ценам Камчатского края </w:t>
                  </w:r>
                </w:p>
                <w:p w:rsidR="002826E8" w:rsidRPr="007066D7" w:rsidRDefault="002826E8" w:rsidP="00ED3B24">
                  <w:pPr>
                    <w:rPr>
                      <w:sz w:val="28"/>
                      <w:szCs w:val="28"/>
                    </w:rPr>
                  </w:pPr>
                  <w:r w:rsidRPr="007066D7">
                    <w:rPr>
                      <w:sz w:val="28"/>
                      <w:szCs w:val="28"/>
                    </w:rPr>
                    <w:t xml:space="preserve">от </w:t>
                  </w:r>
                  <w:r w:rsidR="00ED3B24">
                    <w:rPr>
                      <w:sz w:val="28"/>
                      <w:szCs w:val="28"/>
                    </w:rPr>
                    <w:t>ХХ</w:t>
                  </w:r>
                  <w:r w:rsidRPr="007066D7">
                    <w:rPr>
                      <w:sz w:val="28"/>
                      <w:szCs w:val="28"/>
                    </w:rPr>
                    <w:t>.</w:t>
                  </w:r>
                  <w:r w:rsidR="002810BB">
                    <w:rPr>
                      <w:sz w:val="28"/>
                      <w:szCs w:val="28"/>
                    </w:rPr>
                    <w:t>1</w:t>
                  </w:r>
                  <w:r w:rsidR="00ED3B24">
                    <w:rPr>
                      <w:sz w:val="28"/>
                      <w:szCs w:val="28"/>
                    </w:rPr>
                    <w:t>0</w:t>
                  </w:r>
                  <w:r w:rsidRPr="007066D7">
                    <w:rPr>
                      <w:sz w:val="28"/>
                      <w:szCs w:val="28"/>
                    </w:rPr>
                    <w:t>.201</w:t>
                  </w:r>
                  <w:r w:rsidR="00ED3B24">
                    <w:rPr>
                      <w:sz w:val="28"/>
                      <w:szCs w:val="28"/>
                    </w:rPr>
                    <w:t>8</w:t>
                  </w:r>
                  <w:r w:rsidRPr="007066D7">
                    <w:rPr>
                      <w:sz w:val="28"/>
                      <w:szCs w:val="28"/>
                    </w:rPr>
                    <w:t xml:space="preserve"> № </w:t>
                  </w:r>
                  <w:r w:rsidR="00ED3B24">
                    <w:rPr>
                      <w:sz w:val="28"/>
                      <w:szCs w:val="28"/>
                    </w:rPr>
                    <w:t>ХХ</w:t>
                  </w:r>
                </w:p>
              </w:tc>
            </w:tr>
          </w:tbl>
          <w:p w:rsidR="00281A9D" w:rsidRDefault="00281A9D" w:rsidP="00EE10C2">
            <w:pPr>
              <w:jc w:val="both"/>
              <w:rPr>
                <w:sz w:val="28"/>
                <w:szCs w:val="28"/>
              </w:rPr>
            </w:pPr>
          </w:p>
          <w:p w:rsidR="00281A9D" w:rsidRDefault="00281A9D" w:rsidP="00EE10C2">
            <w:pPr>
              <w:jc w:val="both"/>
              <w:rPr>
                <w:sz w:val="28"/>
                <w:szCs w:val="28"/>
              </w:rPr>
            </w:pPr>
          </w:p>
          <w:p w:rsidR="00281A9D" w:rsidRDefault="00281A9D" w:rsidP="00EE10C2">
            <w:pPr>
              <w:jc w:val="both"/>
              <w:rPr>
                <w:sz w:val="28"/>
                <w:szCs w:val="28"/>
              </w:rPr>
            </w:pPr>
          </w:p>
          <w:p w:rsidR="002826E8" w:rsidRDefault="002826E8" w:rsidP="00EE10C2">
            <w:pPr>
              <w:jc w:val="both"/>
              <w:rPr>
                <w:sz w:val="28"/>
                <w:szCs w:val="28"/>
              </w:rPr>
            </w:pPr>
          </w:p>
          <w:p w:rsidR="002826E8" w:rsidRPr="002810BB" w:rsidRDefault="002826E8" w:rsidP="00EE10C2">
            <w:pPr>
              <w:jc w:val="both"/>
              <w:rPr>
                <w:sz w:val="16"/>
                <w:szCs w:val="16"/>
              </w:rPr>
            </w:pPr>
          </w:p>
          <w:p w:rsidR="00155EB5" w:rsidRPr="006D0A04" w:rsidRDefault="001234D8" w:rsidP="00155EB5">
            <w:pPr>
              <w:jc w:val="center"/>
              <w:rPr>
                <w:b/>
                <w:sz w:val="28"/>
                <w:szCs w:val="28"/>
                <w:vertAlign w:val="superscript"/>
              </w:rPr>
            </w:pPr>
            <w:r w:rsidRPr="00155EB5">
              <w:rPr>
                <w:b/>
                <w:sz w:val="28"/>
                <w:szCs w:val="28"/>
              </w:rPr>
              <w:t xml:space="preserve">Экономически обоснованные тарифы на электрическую энергию (мощность), поставляемую </w:t>
            </w:r>
            <w:r w:rsidR="00E95312">
              <w:rPr>
                <w:b/>
                <w:sz w:val="28"/>
                <w:szCs w:val="28"/>
              </w:rPr>
              <w:t>ОО</w:t>
            </w:r>
            <w:r w:rsidR="00F41BD6" w:rsidRPr="00155EB5">
              <w:rPr>
                <w:b/>
                <w:sz w:val="28"/>
                <w:szCs w:val="28"/>
              </w:rPr>
              <w:t>О «</w:t>
            </w:r>
            <w:r w:rsidR="00E95312">
              <w:rPr>
                <w:b/>
                <w:sz w:val="28"/>
                <w:szCs w:val="28"/>
              </w:rPr>
              <w:t>Энергопрогноз</w:t>
            </w:r>
            <w:r w:rsidR="00F41BD6" w:rsidRPr="002A256A">
              <w:rPr>
                <w:b/>
                <w:sz w:val="28"/>
                <w:szCs w:val="28"/>
              </w:rPr>
              <w:t xml:space="preserve">» по объектам электроснабжения горнодобывающих предприятий </w:t>
            </w:r>
            <w:r w:rsidR="00F41BD6" w:rsidRPr="00ED3B24">
              <w:rPr>
                <w:b/>
                <w:sz w:val="28"/>
                <w:szCs w:val="28"/>
                <w:highlight w:val="yellow"/>
              </w:rPr>
              <w:t>(Пенжинский муниципальный район Камчатского края, месторождение «Аметистовое», Карагинский муниципальный район Камчатского края, месторождение «Озерновское», Олюторский муниципальный район Камчатского края, месторождение «Ледяной», месторождение «Левтыринываям», Быстринский муниципальный район Камчатского края, группа месторождений «Камчатское золото», «Камголд»)</w:t>
            </w:r>
            <w:r w:rsidR="00F41BD6" w:rsidRPr="00155EB5">
              <w:rPr>
                <w:b/>
                <w:sz w:val="28"/>
                <w:szCs w:val="28"/>
              </w:rPr>
              <w:t xml:space="preserve"> покупателям на розничном рынке в технологически изолированной электроэнергетической системе по договорам купли-продажи (договорам энергоснабжения),</w:t>
            </w:r>
            <w:r w:rsidRPr="00155EB5">
              <w:rPr>
                <w:b/>
                <w:sz w:val="28"/>
                <w:szCs w:val="28"/>
              </w:rPr>
              <w:t xml:space="preserve"> без дифференциации по уровням напряжения</w:t>
            </w:r>
            <w:r w:rsidR="00D305E6" w:rsidRPr="00155EB5">
              <w:rPr>
                <w:b/>
                <w:sz w:val="28"/>
                <w:szCs w:val="28"/>
                <w:vertAlign w:val="superscript"/>
              </w:rPr>
              <w:t>1</w:t>
            </w:r>
          </w:p>
          <w:p w:rsidR="003F401B" w:rsidRPr="00155EB5" w:rsidRDefault="003F401B" w:rsidP="00155EB5">
            <w:pPr>
              <w:jc w:val="center"/>
              <w:rPr>
                <w:b/>
                <w:sz w:val="28"/>
                <w:szCs w:val="28"/>
                <w:vertAlign w:val="superscript"/>
              </w:rPr>
            </w:pPr>
            <w:r w:rsidRPr="00155EB5">
              <w:rPr>
                <w:b/>
                <w:sz w:val="28"/>
                <w:szCs w:val="28"/>
              </w:rPr>
              <w:t>с 01 января 201</w:t>
            </w:r>
            <w:r w:rsidR="00ED3B24">
              <w:rPr>
                <w:b/>
                <w:sz w:val="28"/>
                <w:szCs w:val="28"/>
              </w:rPr>
              <w:t>9</w:t>
            </w:r>
            <w:r w:rsidRPr="00155EB5">
              <w:rPr>
                <w:b/>
                <w:sz w:val="28"/>
                <w:szCs w:val="28"/>
              </w:rPr>
              <w:t xml:space="preserve"> года по 31 декабря 201</w:t>
            </w:r>
            <w:r w:rsidR="00ED3B24">
              <w:rPr>
                <w:b/>
                <w:sz w:val="28"/>
                <w:szCs w:val="28"/>
              </w:rPr>
              <w:t>9</w:t>
            </w:r>
            <w:r w:rsidRPr="00155EB5">
              <w:rPr>
                <w:b/>
                <w:sz w:val="28"/>
                <w:szCs w:val="28"/>
              </w:rPr>
              <w:t xml:space="preserve"> года</w:t>
            </w:r>
          </w:p>
          <w:p w:rsidR="003F401B" w:rsidRPr="002810BB" w:rsidRDefault="003F401B" w:rsidP="003F401B">
            <w:pPr>
              <w:jc w:val="center"/>
              <w:rPr>
                <w:b/>
                <w:sz w:val="16"/>
                <w:szCs w:val="16"/>
                <w:highlight w:val="lightGray"/>
              </w:rPr>
            </w:pPr>
          </w:p>
          <w:tbl>
            <w:tblPr>
              <w:tblW w:w="5000" w:type="pct"/>
              <w:tblCellSpacing w:w="5" w:type="nil"/>
              <w:tblCellMar>
                <w:left w:w="75" w:type="dxa"/>
                <w:right w:w="75" w:type="dxa"/>
              </w:tblCellMar>
              <w:tblLook w:val="0000" w:firstRow="0" w:lastRow="0" w:firstColumn="0" w:lastColumn="0" w:noHBand="0" w:noVBand="0"/>
            </w:tblPr>
            <w:tblGrid>
              <w:gridCol w:w="542"/>
              <w:gridCol w:w="2293"/>
              <w:gridCol w:w="1334"/>
              <w:gridCol w:w="2549"/>
              <w:gridCol w:w="2627"/>
            </w:tblGrid>
            <w:tr w:rsidR="003F401B" w:rsidRPr="00832172" w:rsidTr="009446E3">
              <w:trPr>
                <w:tblCellSpacing w:w="5" w:type="nil"/>
              </w:trPr>
              <w:tc>
                <w:tcPr>
                  <w:tcW w:w="246" w:type="pct"/>
                  <w:vMerge w:val="restart"/>
                  <w:tcBorders>
                    <w:top w:val="single" w:sz="4" w:space="0" w:color="auto"/>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 п/п </w:t>
                  </w:r>
                </w:p>
              </w:tc>
              <w:tc>
                <w:tcPr>
                  <w:tcW w:w="1238" w:type="pct"/>
                  <w:vMerge w:val="restart"/>
                  <w:tcBorders>
                    <w:top w:val="single" w:sz="4" w:space="0" w:color="auto"/>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Показатель (группы  потребителей с разбивкой </w:t>
                  </w:r>
                  <w:r>
                    <w:rPr>
                      <w:rFonts w:ascii="Times New Roman" w:hAnsi="Times New Roman" w:cs="Times New Roman"/>
                    </w:rPr>
                    <w:t xml:space="preserve">тарифа по ставкам и  дифференциацией </w:t>
                  </w:r>
                  <w:r w:rsidRPr="001139A8">
                    <w:rPr>
                      <w:rFonts w:ascii="Times New Roman" w:hAnsi="Times New Roman" w:cs="Times New Roman"/>
                    </w:rPr>
                    <w:t xml:space="preserve">по зонам суток)        </w:t>
                  </w:r>
                </w:p>
              </w:tc>
              <w:tc>
                <w:tcPr>
                  <w:tcW w:w="725" w:type="pct"/>
                  <w:vMerge w:val="restart"/>
                  <w:tcBorders>
                    <w:top w:val="single" w:sz="4" w:space="0" w:color="auto"/>
                    <w:left w:val="single" w:sz="4" w:space="0" w:color="auto"/>
                    <w:bottom w:val="single" w:sz="4" w:space="0" w:color="auto"/>
                    <w:right w:val="single" w:sz="4" w:space="0" w:color="auto"/>
                  </w:tcBorders>
                  <w:vAlign w:val="center"/>
                </w:tcPr>
                <w:p w:rsidR="003F401B" w:rsidRPr="001139A8" w:rsidRDefault="003F401B" w:rsidP="003F401B">
                  <w:pPr>
                    <w:pStyle w:val="ConsPlusCell"/>
                    <w:jc w:val="center"/>
                    <w:rPr>
                      <w:rFonts w:ascii="Times New Roman" w:hAnsi="Times New Roman" w:cs="Times New Roman"/>
                    </w:rPr>
                  </w:pPr>
                  <w:r w:rsidRPr="001139A8">
                    <w:rPr>
                      <w:rFonts w:ascii="Times New Roman" w:hAnsi="Times New Roman" w:cs="Times New Roman"/>
                    </w:rPr>
                    <w:t xml:space="preserve">Единица    </w:t>
                  </w:r>
                  <w:r w:rsidRPr="001139A8">
                    <w:rPr>
                      <w:rFonts w:ascii="Times New Roman" w:hAnsi="Times New Roman" w:cs="Times New Roman"/>
                    </w:rPr>
                    <w:br/>
                    <w:t xml:space="preserve">  измерения</w:t>
                  </w:r>
                </w:p>
              </w:tc>
              <w:tc>
                <w:tcPr>
                  <w:tcW w:w="1375" w:type="pct"/>
                  <w:tcBorders>
                    <w:top w:val="single" w:sz="4" w:space="0" w:color="auto"/>
                    <w:left w:val="single" w:sz="4" w:space="0" w:color="auto"/>
                    <w:bottom w:val="single" w:sz="4" w:space="0" w:color="auto"/>
                    <w:right w:val="single" w:sz="4" w:space="0" w:color="auto"/>
                  </w:tcBorders>
                  <w:vAlign w:val="center"/>
                </w:tcPr>
                <w:p w:rsidR="003F401B" w:rsidRPr="001139A8" w:rsidRDefault="003F401B" w:rsidP="003F401B">
                  <w:pPr>
                    <w:pStyle w:val="ConsPlusCell"/>
                    <w:jc w:val="center"/>
                    <w:rPr>
                      <w:rFonts w:ascii="Times New Roman" w:hAnsi="Times New Roman" w:cs="Times New Roman"/>
                      <w:sz w:val="18"/>
                      <w:szCs w:val="18"/>
                    </w:rPr>
                  </w:pPr>
                </w:p>
                <w:p w:rsidR="003F401B" w:rsidRPr="001139A8" w:rsidRDefault="003F401B" w:rsidP="003F401B">
                  <w:pPr>
                    <w:pStyle w:val="ConsPlusCell"/>
                    <w:jc w:val="center"/>
                    <w:rPr>
                      <w:rFonts w:ascii="Times New Roman" w:hAnsi="Times New Roman" w:cs="Times New Roman"/>
                      <w:sz w:val="18"/>
                      <w:szCs w:val="18"/>
                    </w:rPr>
                  </w:pPr>
                  <w:r w:rsidRPr="001139A8">
                    <w:rPr>
                      <w:rFonts w:ascii="Times New Roman" w:hAnsi="Times New Roman" w:cs="Times New Roman"/>
                      <w:sz w:val="18"/>
                      <w:szCs w:val="18"/>
                    </w:rPr>
                    <w:t>с 01.01.201</w:t>
                  </w:r>
                  <w:r w:rsidR="00ED3B24">
                    <w:rPr>
                      <w:rFonts w:ascii="Times New Roman" w:hAnsi="Times New Roman" w:cs="Times New Roman"/>
                      <w:sz w:val="18"/>
                      <w:szCs w:val="18"/>
                    </w:rPr>
                    <w:t>9</w:t>
                  </w:r>
                  <w:r w:rsidRPr="001139A8">
                    <w:rPr>
                      <w:rFonts w:ascii="Times New Roman" w:hAnsi="Times New Roman" w:cs="Times New Roman"/>
                      <w:sz w:val="18"/>
                      <w:szCs w:val="18"/>
                    </w:rPr>
                    <w:t xml:space="preserve">г. </w:t>
                  </w:r>
                </w:p>
                <w:p w:rsidR="003F401B" w:rsidRPr="001139A8" w:rsidRDefault="003F401B" w:rsidP="003F401B">
                  <w:pPr>
                    <w:pStyle w:val="ConsPlusCell"/>
                    <w:jc w:val="center"/>
                    <w:rPr>
                      <w:rFonts w:ascii="Times New Roman" w:hAnsi="Times New Roman" w:cs="Times New Roman"/>
                      <w:sz w:val="18"/>
                      <w:szCs w:val="18"/>
                    </w:rPr>
                  </w:pPr>
                  <w:r w:rsidRPr="001139A8">
                    <w:rPr>
                      <w:rFonts w:ascii="Times New Roman" w:hAnsi="Times New Roman" w:cs="Times New Roman"/>
                      <w:sz w:val="18"/>
                      <w:szCs w:val="18"/>
                    </w:rPr>
                    <w:t>по 30.06.201</w:t>
                  </w:r>
                  <w:r w:rsidR="00ED3B24">
                    <w:rPr>
                      <w:rFonts w:ascii="Times New Roman" w:hAnsi="Times New Roman" w:cs="Times New Roman"/>
                      <w:sz w:val="18"/>
                      <w:szCs w:val="18"/>
                    </w:rPr>
                    <w:t>9</w:t>
                  </w:r>
                  <w:r w:rsidRPr="001139A8">
                    <w:rPr>
                      <w:rFonts w:ascii="Times New Roman" w:hAnsi="Times New Roman" w:cs="Times New Roman"/>
                      <w:sz w:val="18"/>
                      <w:szCs w:val="18"/>
                    </w:rPr>
                    <w:t>г.</w:t>
                  </w:r>
                </w:p>
                <w:p w:rsidR="003F401B" w:rsidRPr="001139A8" w:rsidRDefault="003F401B" w:rsidP="003F401B">
                  <w:pPr>
                    <w:pStyle w:val="ConsPlusCell"/>
                    <w:jc w:val="center"/>
                    <w:rPr>
                      <w:rFonts w:ascii="Times New Roman" w:hAnsi="Times New Roman" w:cs="Times New Roman"/>
                    </w:rPr>
                  </w:pPr>
                </w:p>
              </w:tc>
              <w:tc>
                <w:tcPr>
                  <w:tcW w:w="1416" w:type="pct"/>
                  <w:tcBorders>
                    <w:top w:val="single" w:sz="4" w:space="0" w:color="auto"/>
                    <w:left w:val="single" w:sz="4" w:space="0" w:color="auto"/>
                    <w:bottom w:val="single" w:sz="4" w:space="0" w:color="auto"/>
                    <w:right w:val="single" w:sz="4" w:space="0" w:color="auto"/>
                  </w:tcBorders>
                  <w:vAlign w:val="center"/>
                </w:tcPr>
                <w:p w:rsidR="003F401B" w:rsidRPr="001139A8" w:rsidRDefault="003F401B" w:rsidP="003F401B">
                  <w:pPr>
                    <w:pStyle w:val="ConsPlusCell"/>
                    <w:jc w:val="center"/>
                    <w:rPr>
                      <w:rFonts w:ascii="Times New Roman" w:hAnsi="Times New Roman" w:cs="Times New Roman"/>
                      <w:sz w:val="18"/>
                      <w:szCs w:val="18"/>
                    </w:rPr>
                  </w:pPr>
                  <w:r w:rsidRPr="001139A8">
                    <w:rPr>
                      <w:rFonts w:ascii="Times New Roman" w:hAnsi="Times New Roman" w:cs="Times New Roman"/>
                      <w:sz w:val="18"/>
                      <w:szCs w:val="18"/>
                    </w:rPr>
                    <w:t xml:space="preserve"> с 01.07.201</w:t>
                  </w:r>
                  <w:r w:rsidR="00ED3B24">
                    <w:rPr>
                      <w:rFonts w:ascii="Times New Roman" w:hAnsi="Times New Roman" w:cs="Times New Roman"/>
                      <w:sz w:val="18"/>
                      <w:szCs w:val="18"/>
                    </w:rPr>
                    <w:t>9</w:t>
                  </w:r>
                  <w:r w:rsidRPr="001139A8">
                    <w:rPr>
                      <w:rFonts w:ascii="Times New Roman" w:hAnsi="Times New Roman" w:cs="Times New Roman"/>
                      <w:sz w:val="18"/>
                      <w:szCs w:val="18"/>
                    </w:rPr>
                    <w:t xml:space="preserve">г. </w:t>
                  </w:r>
                </w:p>
                <w:p w:rsidR="003F401B" w:rsidRPr="001139A8" w:rsidRDefault="003F401B" w:rsidP="003E6AD4">
                  <w:pPr>
                    <w:pStyle w:val="ConsPlusCell"/>
                    <w:jc w:val="center"/>
                    <w:rPr>
                      <w:rFonts w:ascii="Times New Roman" w:hAnsi="Times New Roman" w:cs="Times New Roman"/>
                    </w:rPr>
                  </w:pPr>
                  <w:r w:rsidRPr="001139A8">
                    <w:rPr>
                      <w:rFonts w:ascii="Times New Roman" w:hAnsi="Times New Roman" w:cs="Times New Roman"/>
                      <w:sz w:val="18"/>
                      <w:szCs w:val="18"/>
                    </w:rPr>
                    <w:t xml:space="preserve">по </w:t>
                  </w:r>
                  <w:r>
                    <w:rPr>
                      <w:rFonts w:ascii="Times New Roman" w:hAnsi="Times New Roman" w:cs="Times New Roman"/>
                      <w:sz w:val="18"/>
                      <w:szCs w:val="18"/>
                    </w:rPr>
                    <w:t>31.12.201</w:t>
                  </w:r>
                  <w:r w:rsidR="00ED3B24">
                    <w:rPr>
                      <w:rFonts w:ascii="Times New Roman" w:hAnsi="Times New Roman" w:cs="Times New Roman"/>
                      <w:sz w:val="18"/>
                      <w:szCs w:val="18"/>
                    </w:rPr>
                    <w:t>9</w:t>
                  </w:r>
                  <w:r w:rsidRPr="001139A8">
                    <w:rPr>
                      <w:rFonts w:ascii="Times New Roman" w:hAnsi="Times New Roman" w:cs="Times New Roman"/>
                      <w:sz w:val="18"/>
                      <w:szCs w:val="18"/>
                    </w:rPr>
                    <w:t>г.</w:t>
                  </w:r>
                </w:p>
              </w:tc>
            </w:tr>
            <w:tr w:rsidR="003F401B" w:rsidRPr="00832172" w:rsidTr="009446E3">
              <w:trPr>
                <w:tblCellSpacing w:w="5" w:type="nil"/>
              </w:trPr>
              <w:tc>
                <w:tcPr>
                  <w:tcW w:w="246" w:type="pct"/>
                  <w:vMerge/>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p>
              </w:tc>
              <w:tc>
                <w:tcPr>
                  <w:tcW w:w="1238" w:type="pct"/>
                  <w:vMerge/>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p>
              </w:tc>
              <w:tc>
                <w:tcPr>
                  <w:tcW w:w="725" w:type="pct"/>
                  <w:vMerge/>
                  <w:tcBorders>
                    <w:left w:val="single" w:sz="4" w:space="0" w:color="auto"/>
                    <w:bottom w:val="single" w:sz="4" w:space="0" w:color="auto"/>
                    <w:right w:val="single" w:sz="4" w:space="0" w:color="auto"/>
                  </w:tcBorders>
                  <w:vAlign w:val="center"/>
                </w:tcPr>
                <w:p w:rsidR="003F401B" w:rsidRPr="001139A8" w:rsidRDefault="003F401B" w:rsidP="003F401B">
                  <w:pPr>
                    <w:pStyle w:val="ConsPlusCell"/>
                    <w:jc w:val="center"/>
                    <w:rPr>
                      <w:rFonts w:ascii="Times New Roman" w:hAnsi="Times New Roman" w:cs="Times New Roman"/>
                    </w:rPr>
                  </w:pPr>
                </w:p>
              </w:tc>
              <w:tc>
                <w:tcPr>
                  <w:tcW w:w="1375" w:type="pct"/>
                  <w:tcBorders>
                    <w:left w:val="single" w:sz="4" w:space="0" w:color="auto"/>
                    <w:bottom w:val="single" w:sz="4" w:space="0" w:color="auto"/>
                    <w:right w:val="single" w:sz="4" w:space="0" w:color="auto"/>
                  </w:tcBorders>
                  <w:vAlign w:val="center"/>
                </w:tcPr>
                <w:p w:rsidR="003F401B" w:rsidRPr="001139A8" w:rsidRDefault="003F401B" w:rsidP="00F41BD6">
                  <w:pPr>
                    <w:pStyle w:val="ConsPlusCell"/>
                    <w:jc w:val="center"/>
                    <w:rPr>
                      <w:rFonts w:ascii="Times New Roman" w:hAnsi="Times New Roman" w:cs="Times New Roman"/>
                    </w:rPr>
                  </w:pPr>
                  <w:r w:rsidRPr="001139A8">
                    <w:rPr>
                      <w:rFonts w:ascii="Times New Roman" w:hAnsi="Times New Roman" w:cs="Times New Roman"/>
                    </w:rPr>
                    <w:t>Цен</w:t>
                  </w:r>
                  <w:r w:rsidR="00F41BD6">
                    <w:rPr>
                      <w:rFonts w:ascii="Times New Roman" w:hAnsi="Times New Roman" w:cs="Times New Roman"/>
                    </w:rPr>
                    <w:t xml:space="preserve">а </w:t>
                  </w:r>
                  <w:r w:rsidRPr="001139A8">
                    <w:rPr>
                      <w:rFonts w:ascii="Times New Roman" w:hAnsi="Times New Roman" w:cs="Times New Roman"/>
                    </w:rPr>
                    <w:t>(тариф)</w:t>
                  </w:r>
                </w:p>
              </w:tc>
              <w:tc>
                <w:tcPr>
                  <w:tcW w:w="1416" w:type="pct"/>
                  <w:tcBorders>
                    <w:left w:val="single" w:sz="4" w:space="0" w:color="auto"/>
                    <w:bottom w:val="single" w:sz="4" w:space="0" w:color="auto"/>
                    <w:right w:val="single" w:sz="4" w:space="0" w:color="auto"/>
                  </w:tcBorders>
                  <w:vAlign w:val="center"/>
                </w:tcPr>
                <w:p w:rsidR="003F401B" w:rsidRPr="001139A8" w:rsidRDefault="003F401B" w:rsidP="003F401B">
                  <w:pPr>
                    <w:pStyle w:val="ConsPlusCell"/>
                    <w:jc w:val="center"/>
                    <w:rPr>
                      <w:rFonts w:ascii="Times New Roman" w:hAnsi="Times New Roman" w:cs="Times New Roman"/>
                    </w:rPr>
                  </w:pPr>
                  <w:r w:rsidRPr="001139A8">
                    <w:rPr>
                      <w:rFonts w:ascii="Times New Roman" w:hAnsi="Times New Roman" w:cs="Times New Roman"/>
                    </w:rPr>
                    <w:t>Цена (тариф)</w:t>
                  </w: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jc w:val="center"/>
                    <w:rPr>
                      <w:rFonts w:ascii="Times New Roman" w:hAnsi="Times New Roman" w:cs="Times New Roman"/>
                    </w:rPr>
                  </w:pPr>
                  <w:r w:rsidRPr="001139A8">
                    <w:rPr>
                      <w:rFonts w:ascii="Times New Roman" w:hAnsi="Times New Roman" w:cs="Times New Roman"/>
                    </w:rPr>
                    <w:t>1</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jc w:val="center"/>
                    <w:rPr>
                      <w:rFonts w:ascii="Times New Roman" w:hAnsi="Times New Roman" w:cs="Times New Roman"/>
                    </w:rPr>
                  </w:pPr>
                  <w:r w:rsidRPr="001139A8">
                    <w:rPr>
                      <w:rFonts w:ascii="Times New Roman" w:hAnsi="Times New Roman" w:cs="Times New Roman"/>
                    </w:rPr>
                    <w:t>2</w:t>
                  </w:r>
                </w:p>
              </w:tc>
              <w:tc>
                <w:tcPr>
                  <w:tcW w:w="725" w:type="pct"/>
                  <w:tcBorders>
                    <w:left w:val="single" w:sz="4" w:space="0" w:color="auto"/>
                    <w:bottom w:val="single" w:sz="4" w:space="0" w:color="auto"/>
                    <w:right w:val="single" w:sz="4" w:space="0" w:color="auto"/>
                  </w:tcBorders>
                </w:tcPr>
                <w:p w:rsidR="003F401B" w:rsidRPr="001139A8" w:rsidRDefault="003F401B" w:rsidP="003F401B">
                  <w:pPr>
                    <w:pStyle w:val="ConsPlusCell"/>
                    <w:jc w:val="center"/>
                    <w:rPr>
                      <w:rFonts w:ascii="Times New Roman" w:hAnsi="Times New Roman" w:cs="Times New Roman"/>
                    </w:rPr>
                  </w:pPr>
                  <w:r w:rsidRPr="001139A8">
                    <w:rPr>
                      <w:rFonts w:ascii="Times New Roman" w:hAnsi="Times New Roman" w:cs="Times New Roman"/>
                    </w:rPr>
                    <w:t>3</w:t>
                  </w:r>
                </w:p>
              </w:tc>
              <w:tc>
                <w:tcPr>
                  <w:tcW w:w="1375" w:type="pct"/>
                  <w:tcBorders>
                    <w:left w:val="single" w:sz="4" w:space="0" w:color="auto"/>
                    <w:bottom w:val="single" w:sz="4" w:space="0" w:color="auto"/>
                    <w:right w:val="single" w:sz="4" w:space="0" w:color="auto"/>
                  </w:tcBorders>
                </w:tcPr>
                <w:p w:rsidR="003F401B" w:rsidRPr="001139A8" w:rsidRDefault="003F401B" w:rsidP="003F401B">
                  <w:pPr>
                    <w:pStyle w:val="ConsPlusCell"/>
                    <w:jc w:val="center"/>
                    <w:rPr>
                      <w:rFonts w:ascii="Times New Roman" w:hAnsi="Times New Roman" w:cs="Times New Roman"/>
                    </w:rPr>
                  </w:pPr>
                  <w:r w:rsidRPr="001139A8">
                    <w:rPr>
                      <w:rFonts w:ascii="Times New Roman" w:hAnsi="Times New Roman" w:cs="Times New Roman"/>
                    </w:rPr>
                    <w:t>4</w:t>
                  </w:r>
                </w:p>
              </w:tc>
              <w:tc>
                <w:tcPr>
                  <w:tcW w:w="1416" w:type="pct"/>
                  <w:tcBorders>
                    <w:left w:val="single" w:sz="4" w:space="0" w:color="auto"/>
                    <w:bottom w:val="single" w:sz="4" w:space="0" w:color="auto"/>
                    <w:right w:val="single" w:sz="4" w:space="0" w:color="auto"/>
                  </w:tcBorders>
                </w:tcPr>
                <w:p w:rsidR="003F401B" w:rsidRPr="001139A8" w:rsidRDefault="003F401B" w:rsidP="003F401B">
                  <w:pPr>
                    <w:pStyle w:val="ConsPlusCell"/>
                    <w:jc w:val="center"/>
                    <w:rPr>
                      <w:rFonts w:ascii="Times New Roman" w:hAnsi="Times New Roman" w:cs="Times New Roman"/>
                    </w:rPr>
                  </w:pPr>
                  <w:r w:rsidRPr="001139A8">
                    <w:rPr>
                      <w:rFonts w:ascii="Times New Roman" w:hAnsi="Times New Roman" w:cs="Times New Roman"/>
                    </w:rPr>
                    <w:t>5</w:t>
                  </w: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Прочие потребители </w:t>
                  </w:r>
                </w:p>
              </w:tc>
              <w:tc>
                <w:tcPr>
                  <w:tcW w:w="725"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p>
              </w:tc>
              <w:tc>
                <w:tcPr>
                  <w:tcW w:w="1375" w:type="pct"/>
                  <w:tcBorders>
                    <w:left w:val="single" w:sz="4" w:space="0" w:color="auto"/>
                    <w:bottom w:val="single" w:sz="4" w:space="0" w:color="auto"/>
                    <w:right w:val="single" w:sz="4" w:space="0" w:color="auto"/>
                  </w:tcBorders>
                </w:tcPr>
                <w:p w:rsidR="003F401B" w:rsidRPr="00ED3B24" w:rsidRDefault="003F401B" w:rsidP="003F401B">
                  <w:pPr>
                    <w:pStyle w:val="ConsPlusCell"/>
                    <w:jc w:val="center"/>
                    <w:rPr>
                      <w:rFonts w:ascii="Times New Roman" w:hAnsi="Times New Roman" w:cs="Times New Roman"/>
                      <w:highlight w:val="yellow"/>
                    </w:rPr>
                  </w:pPr>
                </w:p>
              </w:tc>
              <w:tc>
                <w:tcPr>
                  <w:tcW w:w="1416" w:type="pct"/>
                  <w:tcBorders>
                    <w:left w:val="single" w:sz="4" w:space="0" w:color="auto"/>
                    <w:bottom w:val="single" w:sz="4" w:space="0" w:color="auto"/>
                    <w:right w:val="single" w:sz="4" w:space="0" w:color="auto"/>
                  </w:tcBorders>
                </w:tcPr>
                <w:p w:rsidR="003F401B" w:rsidRPr="00ED3B24" w:rsidRDefault="003F401B" w:rsidP="003F401B">
                  <w:pPr>
                    <w:pStyle w:val="ConsPlusCell"/>
                    <w:jc w:val="center"/>
                    <w:rPr>
                      <w:rFonts w:ascii="Times New Roman" w:hAnsi="Times New Roman" w:cs="Times New Roman"/>
                      <w:highlight w:val="yellow"/>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1.  </w:t>
                  </w:r>
                </w:p>
              </w:tc>
              <w:tc>
                <w:tcPr>
                  <w:tcW w:w="1238" w:type="pct"/>
                  <w:tcBorders>
                    <w:left w:val="single" w:sz="4" w:space="0" w:color="auto"/>
                    <w:bottom w:val="single" w:sz="4" w:space="0" w:color="auto"/>
                    <w:right w:val="single" w:sz="4" w:space="0" w:color="auto"/>
                  </w:tcBorders>
                </w:tcPr>
                <w:p w:rsidR="003F401B" w:rsidRPr="001139A8" w:rsidRDefault="003F401B" w:rsidP="00D305E6">
                  <w:pPr>
                    <w:pStyle w:val="ConsPlusCell"/>
                    <w:rPr>
                      <w:rFonts w:ascii="Times New Roman" w:hAnsi="Times New Roman" w:cs="Times New Roman"/>
                    </w:rPr>
                  </w:pPr>
                  <w:r w:rsidRPr="001139A8">
                    <w:rPr>
                      <w:rFonts w:ascii="Times New Roman" w:hAnsi="Times New Roman" w:cs="Times New Roman"/>
                    </w:rPr>
                    <w:t>Одн</w:t>
                  </w:r>
                  <w:r w:rsidR="00D305E6">
                    <w:rPr>
                      <w:rFonts w:ascii="Times New Roman" w:hAnsi="Times New Roman" w:cs="Times New Roman"/>
                    </w:rPr>
                    <w:t>о</w:t>
                  </w:r>
                  <w:r w:rsidRPr="001139A8">
                    <w:rPr>
                      <w:rFonts w:ascii="Times New Roman" w:hAnsi="Times New Roman" w:cs="Times New Roman"/>
                    </w:rPr>
                    <w:t xml:space="preserve">ставочный тариф           </w:t>
                  </w:r>
                </w:p>
              </w:tc>
              <w:tc>
                <w:tcPr>
                  <w:tcW w:w="725" w:type="pct"/>
                  <w:tcBorders>
                    <w:left w:val="single" w:sz="4" w:space="0" w:color="auto"/>
                    <w:bottom w:val="single" w:sz="4" w:space="0" w:color="auto"/>
                    <w:right w:val="single" w:sz="4" w:space="0" w:color="auto"/>
                  </w:tcBorders>
                  <w:vAlign w:val="center"/>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375" w:type="pct"/>
                  <w:tcBorders>
                    <w:left w:val="single" w:sz="4" w:space="0" w:color="auto"/>
                    <w:bottom w:val="single" w:sz="4" w:space="0" w:color="auto"/>
                    <w:right w:val="single" w:sz="4" w:space="0" w:color="auto"/>
                  </w:tcBorders>
                  <w:shd w:val="clear" w:color="auto" w:fill="auto"/>
                  <w:vAlign w:val="center"/>
                </w:tcPr>
                <w:p w:rsidR="003F401B" w:rsidRPr="00ED3B24" w:rsidRDefault="006D0A04" w:rsidP="003F401B">
                  <w:pPr>
                    <w:pStyle w:val="ConsPlusCell"/>
                    <w:jc w:val="center"/>
                    <w:rPr>
                      <w:rFonts w:ascii="Times New Roman" w:hAnsi="Times New Roman" w:cs="Times New Roman"/>
                      <w:sz w:val="20"/>
                      <w:szCs w:val="20"/>
                      <w:highlight w:val="yellow"/>
                    </w:rPr>
                  </w:pPr>
                  <w:r w:rsidRPr="00ED3B24">
                    <w:rPr>
                      <w:rFonts w:ascii="Times New Roman" w:hAnsi="Times New Roman" w:cs="Times New Roman"/>
                      <w:sz w:val="20"/>
                      <w:szCs w:val="20"/>
                      <w:highlight w:val="yellow"/>
                      <w:lang w:val="en-US"/>
                    </w:rPr>
                    <w:t>21,030</w:t>
                  </w:r>
                </w:p>
              </w:tc>
              <w:tc>
                <w:tcPr>
                  <w:tcW w:w="1416" w:type="pct"/>
                  <w:tcBorders>
                    <w:left w:val="single" w:sz="4" w:space="0" w:color="auto"/>
                    <w:bottom w:val="single" w:sz="4" w:space="0" w:color="auto"/>
                    <w:right w:val="single" w:sz="4" w:space="0" w:color="auto"/>
                  </w:tcBorders>
                  <w:vAlign w:val="center"/>
                </w:tcPr>
                <w:p w:rsidR="006D0A04" w:rsidRPr="00ED3B24" w:rsidRDefault="006D0A04" w:rsidP="006D0A04">
                  <w:pPr>
                    <w:pStyle w:val="ConsPlusCell"/>
                    <w:jc w:val="center"/>
                    <w:rPr>
                      <w:rFonts w:ascii="Times New Roman" w:hAnsi="Times New Roman" w:cs="Times New Roman"/>
                      <w:sz w:val="20"/>
                      <w:szCs w:val="20"/>
                      <w:highlight w:val="yellow"/>
                    </w:rPr>
                  </w:pPr>
                  <w:r w:rsidRPr="00ED3B24">
                    <w:rPr>
                      <w:rFonts w:ascii="Times New Roman" w:hAnsi="Times New Roman" w:cs="Times New Roman"/>
                      <w:sz w:val="20"/>
                      <w:szCs w:val="20"/>
                      <w:highlight w:val="yellow"/>
                      <w:lang w:val="en-US"/>
                    </w:rPr>
                    <w:t>21,039</w:t>
                  </w: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2.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Трехставочный тариф</w:t>
                  </w:r>
                  <w:r w:rsidR="00D305E6">
                    <w:rPr>
                      <w:rFonts w:ascii="Times New Roman" w:hAnsi="Times New Roman" w:cs="Times New Roman"/>
                      <w:vertAlign w:val="superscript"/>
                    </w:rPr>
                    <w:t>2</w:t>
                  </w:r>
                  <w:r w:rsidRPr="001139A8">
                    <w:rPr>
                      <w:rFonts w:ascii="Times New Roman" w:hAnsi="Times New Roman" w:cs="Times New Roman"/>
                    </w:rPr>
                    <w:t xml:space="preserve">          </w:t>
                  </w:r>
                </w:p>
              </w:tc>
              <w:tc>
                <w:tcPr>
                  <w:tcW w:w="725" w:type="pct"/>
                  <w:tcBorders>
                    <w:left w:val="single" w:sz="4" w:space="0" w:color="auto"/>
                    <w:bottom w:val="single" w:sz="4" w:space="0" w:color="auto"/>
                    <w:right w:val="single" w:sz="4" w:space="0" w:color="auto"/>
                  </w:tcBorders>
                  <w:vAlign w:val="center"/>
                </w:tcPr>
                <w:p w:rsidR="003F401B" w:rsidRPr="001139A8" w:rsidRDefault="003F401B" w:rsidP="003F401B">
                  <w:pPr>
                    <w:pStyle w:val="ConsPlusCell"/>
                    <w:rPr>
                      <w:rFonts w:ascii="Times New Roman" w:hAnsi="Times New Roman" w:cs="Times New Roman"/>
                      <w:sz w:val="18"/>
                      <w:szCs w:val="18"/>
                    </w:rPr>
                  </w:pPr>
                </w:p>
              </w:tc>
              <w:tc>
                <w:tcPr>
                  <w:tcW w:w="1375" w:type="pct"/>
                  <w:tcBorders>
                    <w:left w:val="single" w:sz="4" w:space="0" w:color="auto"/>
                    <w:bottom w:val="single" w:sz="4" w:space="0" w:color="auto"/>
                    <w:right w:val="single" w:sz="4" w:space="0" w:color="auto"/>
                  </w:tcBorders>
                  <w:shd w:val="clear" w:color="auto" w:fill="auto"/>
                  <w:vAlign w:val="center"/>
                </w:tcPr>
                <w:p w:rsidR="003F401B" w:rsidRPr="004A3002" w:rsidRDefault="003F401B" w:rsidP="003F401B">
                  <w:pPr>
                    <w:pStyle w:val="ConsPlusCell"/>
                    <w:jc w:val="center"/>
                    <w:rPr>
                      <w:rFonts w:ascii="Times New Roman" w:hAnsi="Times New Roman" w:cs="Times New Roman"/>
                      <w:sz w:val="24"/>
                      <w:szCs w:val="24"/>
                    </w:rPr>
                  </w:pPr>
                </w:p>
              </w:tc>
              <w:tc>
                <w:tcPr>
                  <w:tcW w:w="1416" w:type="pct"/>
                  <w:tcBorders>
                    <w:left w:val="single" w:sz="4" w:space="0" w:color="auto"/>
                    <w:bottom w:val="single" w:sz="4" w:space="0" w:color="auto"/>
                    <w:right w:val="single" w:sz="4" w:space="0" w:color="auto"/>
                  </w:tcBorders>
                  <w:vAlign w:val="center"/>
                </w:tcPr>
                <w:p w:rsidR="003F401B" w:rsidRPr="004A3002" w:rsidRDefault="003F401B" w:rsidP="003F401B">
                  <w:pPr>
                    <w:pStyle w:val="ConsPlusCell"/>
                    <w:jc w:val="center"/>
                    <w:rPr>
                      <w:rFonts w:ascii="Times New Roman" w:hAnsi="Times New Roman" w:cs="Times New Roman"/>
                      <w:sz w:val="24"/>
                      <w:szCs w:val="24"/>
                      <w:highlight w:val="yellow"/>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2.1.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ставка стоимости единицы электрической мощности </w:t>
                  </w:r>
                </w:p>
              </w:tc>
              <w:tc>
                <w:tcPr>
                  <w:tcW w:w="725" w:type="pct"/>
                  <w:tcBorders>
                    <w:left w:val="single" w:sz="4" w:space="0" w:color="auto"/>
                    <w:bottom w:val="single" w:sz="4" w:space="0" w:color="auto"/>
                    <w:right w:val="single" w:sz="4" w:space="0" w:color="auto"/>
                  </w:tcBorders>
                  <w:vAlign w:val="center"/>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руб./кВт·мес. </w:t>
                  </w:r>
                </w:p>
              </w:tc>
              <w:tc>
                <w:tcPr>
                  <w:tcW w:w="1375" w:type="pct"/>
                  <w:tcBorders>
                    <w:left w:val="single" w:sz="4" w:space="0" w:color="auto"/>
                    <w:bottom w:val="single" w:sz="4" w:space="0" w:color="auto"/>
                    <w:right w:val="single" w:sz="4" w:space="0" w:color="auto"/>
                  </w:tcBorders>
                  <w:shd w:val="clear" w:color="auto" w:fill="auto"/>
                  <w:vAlign w:val="center"/>
                </w:tcPr>
                <w:p w:rsidR="003F401B" w:rsidRPr="007A5C3D" w:rsidRDefault="003F401B" w:rsidP="003F401B">
                  <w:pPr>
                    <w:pStyle w:val="ConsPlusCell"/>
                    <w:jc w:val="center"/>
                    <w:rPr>
                      <w:rFonts w:ascii="Times New Roman" w:hAnsi="Times New Roman" w:cs="Times New Roman"/>
                      <w:sz w:val="18"/>
                      <w:szCs w:val="18"/>
                    </w:rPr>
                  </w:pPr>
                </w:p>
              </w:tc>
              <w:tc>
                <w:tcPr>
                  <w:tcW w:w="1416" w:type="pct"/>
                  <w:tcBorders>
                    <w:left w:val="single" w:sz="4" w:space="0" w:color="auto"/>
                    <w:bottom w:val="single" w:sz="4" w:space="0" w:color="auto"/>
                    <w:right w:val="single" w:sz="4" w:space="0" w:color="auto"/>
                  </w:tcBorders>
                  <w:vAlign w:val="center"/>
                </w:tcPr>
                <w:p w:rsidR="003F401B" w:rsidRPr="00F667F8" w:rsidRDefault="003F401B" w:rsidP="003F401B">
                  <w:pPr>
                    <w:pStyle w:val="ConsPlusCell"/>
                    <w:jc w:val="center"/>
                    <w:rPr>
                      <w:rFonts w:ascii="Times New Roman" w:hAnsi="Times New Roman" w:cs="Times New Roman"/>
                      <w:sz w:val="18"/>
                      <w:szCs w:val="18"/>
                      <w:highlight w:val="yellow"/>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cr/>
                    <w:t xml:space="preserve">.2.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ставка стоимости единицы  электрической мощности  </w:t>
                  </w:r>
                </w:p>
              </w:tc>
              <w:tc>
                <w:tcPr>
                  <w:tcW w:w="725" w:type="pct"/>
                  <w:tcBorders>
                    <w:left w:val="single" w:sz="4" w:space="0" w:color="auto"/>
                    <w:bottom w:val="single" w:sz="4" w:space="0" w:color="auto"/>
                    <w:right w:val="single" w:sz="4" w:space="0" w:color="auto"/>
                  </w:tcBorders>
                  <w:vAlign w:val="center"/>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руб./кВт·мес. </w:t>
                  </w:r>
                </w:p>
              </w:tc>
              <w:tc>
                <w:tcPr>
                  <w:tcW w:w="1375" w:type="pct"/>
                  <w:tcBorders>
                    <w:left w:val="single" w:sz="4" w:space="0" w:color="auto"/>
                    <w:bottom w:val="single" w:sz="4" w:space="0" w:color="auto"/>
                    <w:right w:val="single" w:sz="4" w:space="0" w:color="auto"/>
                  </w:tcBorders>
                  <w:shd w:val="clear" w:color="auto" w:fill="auto"/>
                  <w:vAlign w:val="center"/>
                </w:tcPr>
                <w:p w:rsidR="003F401B" w:rsidRPr="007A5C3D" w:rsidRDefault="003F401B" w:rsidP="003F401B">
                  <w:pPr>
                    <w:pStyle w:val="ConsPlusCell"/>
                    <w:jc w:val="center"/>
                    <w:rPr>
                      <w:rFonts w:ascii="Times New Roman" w:hAnsi="Times New Roman" w:cs="Times New Roman"/>
                      <w:sz w:val="18"/>
                      <w:szCs w:val="18"/>
                    </w:rPr>
                  </w:pPr>
                </w:p>
              </w:tc>
              <w:tc>
                <w:tcPr>
                  <w:tcW w:w="1416" w:type="pct"/>
                  <w:tcBorders>
                    <w:left w:val="single" w:sz="4" w:space="0" w:color="auto"/>
                    <w:bottom w:val="single" w:sz="4" w:space="0" w:color="auto"/>
                    <w:right w:val="single" w:sz="4" w:space="0" w:color="auto"/>
                  </w:tcBorders>
                  <w:vAlign w:val="center"/>
                </w:tcPr>
                <w:p w:rsidR="003F401B" w:rsidRPr="00F667F8" w:rsidRDefault="003F401B" w:rsidP="003F401B">
                  <w:pPr>
                    <w:pStyle w:val="ConsPlusCell"/>
                    <w:jc w:val="center"/>
                    <w:rPr>
                      <w:rFonts w:ascii="Times New Roman" w:hAnsi="Times New Roman" w:cs="Times New Roman"/>
                      <w:sz w:val="18"/>
                      <w:szCs w:val="18"/>
                      <w:highlight w:val="yellow"/>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2.3.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ставка стоимости единицы электрической энергии         </w:t>
                  </w:r>
                </w:p>
              </w:tc>
              <w:tc>
                <w:tcPr>
                  <w:tcW w:w="725" w:type="pct"/>
                  <w:tcBorders>
                    <w:left w:val="single" w:sz="4" w:space="0" w:color="auto"/>
                    <w:bottom w:val="single" w:sz="4" w:space="0" w:color="auto"/>
                    <w:right w:val="single" w:sz="4" w:space="0" w:color="auto"/>
                  </w:tcBorders>
                  <w:vAlign w:val="center"/>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375" w:type="pct"/>
                  <w:tcBorders>
                    <w:left w:val="single" w:sz="4" w:space="0" w:color="auto"/>
                    <w:bottom w:val="single" w:sz="4" w:space="0" w:color="auto"/>
                    <w:right w:val="single" w:sz="4" w:space="0" w:color="auto"/>
                  </w:tcBorders>
                  <w:shd w:val="clear" w:color="auto" w:fill="auto"/>
                  <w:vAlign w:val="center"/>
                </w:tcPr>
                <w:p w:rsidR="003F401B" w:rsidRPr="007A5C3D" w:rsidRDefault="003F401B" w:rsidP="003F401B">
                  <w:pPr>
                    <w:pStyle w:val="ConsPlusCell"/>
                    <w:jc w:val="center"/>
                    <w:rPr>
                      <w:rFonts w:ascii="Times New Roman" w:hAnsi="Times New Roman" w:cs="Times New Roman"/>
                      <w:sz w:val="18"/>
                      <w:szCs w:val="18"/>
                    </w:rPr>
                  </w:pPr>
                </w:p>
              </w:tc>
              <w:tc>
                <w:tcPr>
                  <w:tcW w:w="1416" w:type="pct"/>
                  <w:tcBorders>
                    <w:left w:val="single" w:sz="4" w:space="0" w:color="auto"/>
                    <w:bottom w:val="single" w:sz="4" w:space="0" w:color="auto"/>
                    <w:right w:val="single" w:sz="4" w:space="0" w:color="auto"/>
                  </w:tcBorders>
                  <w:vAlign w:val="center"/>
                </w:tcPr>
                <w:p w:rsidR="003F401B" w:rsidRPr="00F667F8" w:rsidRDefault="003F401B" w:rsidP="003F401B">
                  <w:pPr>
                    <w:pStyle w:val="ConsPlusCell"/>
                    <w:jc w:val="center"/>
                    <w:rPr>
                      <w:rFonts w:ascii="Times New Roman" w:hAnsi="Times New Roman" w:cs="Times New Roman"/>
                      <w:sz w:val="18"/>
                      <w:szCs w:val="18"/>
                      <w:highlight w:val="yellow"/>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3.  </w:t>
                  </w:r>
                </w:p>
              </w:tc>
              <w:tc>
                <w:tcPr>
                  <w:tcW w:w="4754" w:type="pct"/>
                  <w:gridSpan w:val="4"/>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Одноставочные тарифы, дифференцированные по трем зонам суток                           </w:t>
                  </w: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3.</w:t>
                  </w:r>
                  <w:r w:rsidRPr="001139A8">
                    <w:rPr>
                      <w:rFonts w:ascii="Times New Roman" w:hAnsi="Times New Roman" w:cs="Times New Roman"/>
                    </w:rPr>
                    <w:cr/>
                    <w:t xml:space="preserve">.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ночная зона      </w:t>
                  </w:r>
                  <w:r w:rsidRPr="001139A8">
                    <w:rPr>
                      <w:rFonts w:ascii="Times New Roman" w:hAnsi="Times New Roman" w:cs="Times New Roman"/>
                    </w:rPr>
                    <w:cr/>
                    <w:t xml:space="preserve">          </w:t>
                  </w:r>
                </w:p>
              </w:tc>
              <w:tc>
                <w:tcPr>
                  <w:tcW w:w="725"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375" w:type="pct"/>
                  <w:tcBorders>
                    <w:left w:val="single" w:sz="4" w:space="0" w:color="auto"/>
                    <w:bottom w:val="single" w:sz="4" w:space="0" w:color="auto"/>
                    <w:right w:val="single" w:sz="4" w:space="0" w:color="auto"/>
                  </w:tcBorders>
                  <w:vAlign w:val="center"/>
                </w:tcPr>
                <w:p w:rsidR="003F401B" w:rsidRPr="001139A8" w:rsidRDefault="003F401B" w:rsidP="003F401B">
                  <w:pPr>
                    <w:jc w:val="center"/>
                    <w:rPr>
                      <w:color w:val="000000"/>
                      <w:sz w:val="16"/>
                      <w:szCs w:val="16"/>
                    </w:rPr>
                  </w:pPr>
                </w:p>
              </w:tc>
              <w:tc>
                <w:tcPr>
                  <w:tcW w:w="1416" w:type="pct"/>
                  <w:tcBorders>
                    <w:left w:val="single" w:sz="4" w:space="0" w:color="auto"/>
                    <w:bottom w:val="single" w:sz="4" w:space="0" w:color="auto"/>
                    <w:right w:val="single" w:sz="4" w:space="0" w:color="auto"/>
                  </w:tcBorders>
                  <w:vAlign w:val="center"/>
                </w:tcPr>
                <w:p w:rsidR="003F401B" w:rsidRPr="004F0D9B" w:rsidRDefault="003F401B" w:rsidP="003F401B">
                  <w:pPr>
                    <w:jc w:val="center"/>
                    <w:rPr>
                      <w:color w:val="000000"/>
                      <w:sz w:val="16"/>
                      <w:szCs w:val="16"/>
                      <w:highlight w:val="lightGray"/>
                      <w:lang w:val="en-US"/>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3.2.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полупиковая зона            </w:t>
                  </w:r>
                </w:p>
              </w:tc>
              <w:tc>
                <w:tcPr>
                  <w:tcW w:w="725"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375" w:type="pct"/>
                  <w:tcBorders>
                    <w:left w:val="single" w:sz="4" w:space="0" w:color="auto"/>
                    <w:bottom w:val="single" w:sz="4" w:space="0" w:color="auto"/>
                    <w:right w:val="single" w:sz="4" w:space="0" w:color="auto"/>
                  </w:tcBorders>
                  <w:vAlign w:val="center"/>
                </w:tcPr>
                <w:p w:rsidR="003F401B" w:rsidRPr="004F0D9B" w:rsidRDefault="003F401B" w:rsidP="003F401B">
                  <w:pPr>
                    <w:jc w:val="center"/>
                    <w:rPr>
                      <w:color w:val="000000"/>
                      <w:sz w:val="16"/>
                      <w:szCs w:val="16"/>
                      <w:lang w:val="en-US"/>
                    </w:rPr>
                  </w:pPr>
                </w:p>
              </w:tc>
              <w:tc>
                <w:tcPr>
                  <w:tcW w:w="1416" w:type="pct"/>
                  <w:tcBorders>
                    <w:left w:val="single" w:sz="4" w:space="0" w:color="auto"/>
                    <w:bottom w:val="single" w:sz="4" w:space="0" w:color="auto"/>
                    <w:right w:val="single" w:sz="4" w:space="0" w:color="auto"/>
                  </w:tcBorders>
                  <w:vAlign w:val="center"/>
                </w:tcPr>
                <w:p w:rsidR="003F401B" w:rsidRPr="004F0D9B" w:rsidRDefault="003F401B" w:rsidP="003F401B">
                  <w:pPr>
                    <w:jc w:val="center"/>
                    <w:rPr>
                      <w:color w:val="000000"/>
                      <w:sz w:val="16"/>
                      <w:szCs w:val="16"/>
                      <w:highlight w:val="lightGray"/>
                      <w:lang w:val="en-US"/>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3.3.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пиковая зона                </w:t>
                  </w:r>
                </w:p>
              </w:tc>
              <w:tc>
                <w:tcPr>
                  <w:tcW w:w="725"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375" w:type="pct"/>
                  <w:tcBorders>
                    <w:left w:val="single" w:sz="4" w:space="0" w:color="auto"/>
                    <w:bottom w:val="single" w:sz="4" w:space="0" w:color="auto"/>
                    <w:right w:val="single" w:sz="4" w:space="0" w:color="auto"/>
                  </w:tcBorders>
                  <w:vAlign w:val="center"/>
                </w:tcPr>
                <w:p w:rsidR="003F401B" w:rsidRPr="004F0D9B" w:rsidRDefault="003F401B" w:rsidP="003F401B">
                  <w:pPr>
                    <w:jc w:val="center"/>
                    <w:rPr>
                      <w:color w:val="000000"/>
                      <w:sz w:val="16"/>
                      <w:szCs w:val="16"/>
                      <w:lang w:val="en-US"/>
                    </w:rPr>
                  </w:pPr>
                </w:p>
              </w:tc>
              <w:tc>
                <w:tcPr>
                  <w:tcW w:w="1416" w:type="pct"/>
                  <w:tcBorders>
                    <w:left w:val="single" w:sz="4" w:space="0" w:color="auto"/>
                    <w:bottom w:val="single" w:sz="4" w:space="0" w:color="auto"/>
                    <w:right w:val="single" w:sz="4" w:space="0" w:color="auto"/>
                  </w:tcBorders>
                  <w:vAlign w:val="center"/>
                </w:tcPr>
                <w:p w:rsidR="003F401B" w:rsidRPr="004F0D9B" w:rsidRDefault="003F401B" w:rsidP="003F401B">
                  <w:pPr>
                    <w:jc w:val="center"/>
                    <w:rPr>
                      <w:color w:val="000000"/>
                      <w:sz w:val="16"/>
                      <w:szCs w:val="16"/>
                      <w:highlight w:val="lightGray"/>
                      <w:lang w:val="en-US"/>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4.  </w:t>
                  </w:r>
                </w:p>
              </w:tc>
              <w:tc>
                <w:tcPr>
                  <w:tcW w:w="4754" w:type="pct"/>
                  <w:gridSpan w:val="4"/>
                  <w:tcBorders>
                    <w:left w:val="single" w:sz="4" w:space="0" w:color="auto"/>
                    <w:bottom w:val="single" w:sz="4" w:space="0" w:color="auto"/>
                    <w:right w:val="single" w:sz="4" w:space="0" w:color="auto"/>
                  </w:tcBorders>
                </w:tcPr>
                <w:p w:rsidR="003F401B" w:rsidRPr="001139A8" w:rsidRDefault="003F401B" w:rsidP="006A4490">
                  <w:pPr>
                    <w:pStyle w:val="ConsPlusCell"/>
                    <w:rPr>
                      <w:rFonts w:ascii="Times New Roman" w:hAnsi="Times New Roman" w:cs="Times New Roman"/>
                    </w:rPr>
                  </w:pPr>
                  <w:r w:rsidRPr="001139A8">
                    <w:rPr>
                      <w:rFonts w:ascii="Times New Roman" w:hAnsi="Times New Roman" w:cs="Times New Roman"/>
                    </w:rPr>
                    <w:t xml:space="preserve">Одноставочные тарифы, дифференцированные по двум зонам суток                       </w:t>
                  </w:r>
                  <w:r w:rsidRPr="001139A8">
                    <w:rPr>
                      <w:rFonts w:ascii="Times New Roman" w:hAnsi="Times New Roman" w:cs="Times New Roman"/>
                    </w:rPr>
                    <w:cr/>
                    <w:t xml:space="preserve">     </w:t>
                  </w: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4.1.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ночная зона                 </w:t>
                  </w:r>
                </w:p>
              </w:tc>
              <w:tc>
                <w:tcPr>
                  <w:tcW w:w="725"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375" w:type="pct"/>
                  <w:tcBorders>
                    <w:left w:val="single" w:sz="4" w:space="0" w:color="auto"/>
                    <w:bottom w:val="single" w:sz="4" w:space="0" w:color="auto"/>
                    <w:right w:val="single" w:sz="4" w:space="0" w:color="auto"/>
                  </w:tcBorders>
                  <w:vAlign w:val="center"/>
                </w:tcPr>
                <w:p w:rsidR="003F401B" w:rsidRPr="004F0D9B" w:rsidRDefault="003F401B" w:rsidP="003F401B">
                  <w:pPr>
                    <w:jc w:val="center"/>
                    <w:rPr>
                      <w:color w:val="000000"/>
                      <w:sz w:val="16"/>
                      <w:szCs w:val="16"/>
                      <w:lang w:val="en-US"/>
                    </w:rPr>
                  </w:pPr>
                </w:p>
              </w:tc>
              <w:tc>
                <w:tcPr>
                  <w:tcW w:w="1416" w:type="pct"/>
                  <w:tcBorders>
                    <w:left w:val="single" w:sz="4" w:space="0" w:color="auto"/>
                    <w:bottom w:val="single" w:sz="4" w:space="0" w:color="auto"/>
                    <w:right w:val="single" w:sz="4" w:space="0" w:color="auto"/>
                  </w:tcBorders>
                  <w:vAlign w:val="center"/>
                </w:tcPr>
                <w:p w:rsidR="003F401B" w:rsidRPr="004F0D9B" w:rsidRDefault="003F401B" w:rsidP="003F401B">
                  <w:pPr>
                    <w:jc w:val="center"/>
                    <w:rPr>
                      <w:color w:val="000000"/>
                      <w:sz w:val="16"/>
                      <w:szCs w:val="16"/>
                      <w:highlight w:val="lightGray"/>
                      <w:lang w:val="en-US"/>
                    </w:rPr>
                  </w:pPr>
                </w:p>
              </w:tc>
            </w:tr>
            <w:tr w:rsidR="003F401B" w:rsidRPr="00832172" w:rsidTr="009446E3">
              <w:trPr>
                <w:tblCellSpacing w:w="5" w:type="nil"/>
              </w:trPr>
              <w:tc>
                <w:tcPr>
                  <w:tcW w:w="246"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4.2. </w:t>
                  </w:r>
                </w:p>
              </w:tc>
              <w:tc>
                <w:tcPr>
                  <w:tcW w:w="1238"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rPr>
                  </w:pPr>
                  <w:r w:rsidRPr="001139A8">
                    <w:rPr>
                      <w:rFonts w:ascii="Times New Roman" w:hAnsi="Times New Roman" w:cs="Times New Roman"/>
                    </w:rPr>
                    <w:t xml:space="preserve">- дневная зона (пиковая и полупиковая)                  </w:t>
                  </w:r>
                </w:p>
              </w:tc>
              <w:tc>
                <w:tcPr>
                  <w:tcW w:w="725" w:type="pct"/>
                  <w:tcBorders>
                    <w:left w:val="single" w:sz="4" w:space="0" w:color="auto"/>
                    <w:bottom w:val="single" w:sz="4" w:space="0" w:color="auto"/>
                    <w:right w:val="single" w:sz="4" w:space="0" w:color="auto"/>
                  </w:tcBorders>
                </w:tcPr>
                <w:p w:rsidR="003F401B" w:rsidRPr="001139A8" w:rsidRDefault="003F401B" w:rsidP="003F401B">
                  <w:pPr>
                    <w:pStyle w:val="ConsPlusCell"/>
                    <w:rPr>
                      <w:rFonts w:ascii="Times New Roman" w:hAnsi="Times New Roman" w:cs="Times New Roman"/>
                      <w:sz w:val="18"/>
                      <w:szCs w:val="18"/>
                    </w:rPr>
                  </w:pPr>
                  <w:r w:rsidRPr="001139A8">
                    <w:rPr>
                      <w:rFonts w:ascii="Times New Roman" w:hAnsi="Times New Roman" w:cs="Times New Roman"/>
                      <w:sz w:val="18"/>
                      <w:szCs w:val="18"/>
                    </w:rPr>
                    <w:t xml:space="preserve">руб./кВт·ч    </w:t>
                  </w:r>
                </w:p>
              </w:tc>
              <w:tc>
                <w:tcPr>
                  <w:tcW w:w="1375" w:type="pct"/>
                  <w:tcBorders>
                    <w:left w:val="single" w:sz="4" w:space="0" w:color="auto"/>
                    <w:bottom w:val="single" w:sz="4" w:space="0" w:color="auto"/>
                    <w:right w:val="single" w:sz="4" w:space="0" w:color="auto"/>
                  </w:tcBorders>
                  <w:vAlign w:val="center"/>
                </w:tcPr>
                <w:p w:rsidR="003F401B" w:rsidRPr="00FB2D16" w:rsidRDefault="003F401B" w:rsidP="003F401B">
                  <w:pPr>
                    <w:jc w:val="center"/>
                    <w:rPr>
                      <w:color w:val="000000"/>
                      <w:sz w:val="16"/>
                      <w:szCs w:val="16"/>
                    </w:rPr>
                  </w:pPr>
                </w:p>
              </w:tc>
              <w:tc>
                <w:tcPr>
                  <w:tcW w:w="1416" w:type="pct"/>
                  <w:tcBorders>
                    <w:left w:val="single" w:sz="4" w:space="0" w:color="auto"/>
                    <w:bottom w:val="single" w:sz="4" w:space="0" w:color="auto"/>
                    <w:right w:val="single" w:sz="4" w:space="0" w:color="auto"/>
                  </w:tcBorders>
                  <w:vAlign w:val="center"/>
                </w:tcPr>
                <w:p w:rsidR="003F401B" w:rsidRPr="00FB2D16" w:rsidRDefault="003F401B" w:rsidP="003F401B">
                  <w:pPr>
                    <w:jc w:val="center"/>
                    <w:rPr>
                      <w:color w:val="000000"/>
                      <w:sz w:val="16"/>
                      <w:szCs w:val="16"/>
                      <w:highlight w:val="lightGray"/>
                    </w:rPr>
                  </w:pPr>
                </w:p>
              </w:tc>
            </w:tr>
          </w:tbl>
          <w:p w:rsidR="003F401B" w:rsidRPr="002810BB" w:rsidRDefault="003F401B" w:rsidP="003F401B">
            <w:pPr>
              <w:jc w:val="both"/>
              <w:rPr>
                <w:sz w:val="16"/>
                <w:szCs w:val="16"/>
                <w:highlight w:val="lightGray"/>
              </w:rPr>
            </w:pPr>
          </w:p>
          <w:p w:rsidR="003F401B" w:rsidRPr="006619DB" w:rsidRDefault="003F401B" w:rsidP="00F41BD6">
            <w:pPr>
              <w:tabs>
                <w:tab w:val="left" w:pos="525"/>
                <w:tab w:val="right" w:pos="9355"/>
              </w:tabs>
              <w:ind w:firstLine="709"/>
              <w:jc w:val="both"/>
              <w:rPr>
                <w:bCs/>
                <w:sz w:val="20"/>
                <w:szCs w:val="20"/>
              </w:rPr>
            </w:pPr>
            <w:r w:rsidRPr="006619DB">
              <w:rPr>
                <w:bCs/>
                <w:sz w:val="20"/>
                <w:szCs w:val="20"/>
              </w:rPr>
              <w:t xml:space="preserve">Примечание: </w:t>
            </w:r>
          </w:p>
          <w:p w:rsidR="0050528C" w:rsidRPr="0050528C" w:rsidRDefault="003F401B" w:rsidP="0050528C">
            <w:pPr>
              <w:ind w:firstLine="709"/>
              <w:jc w:val="both"/>
              <w:rPr>
                <w:sz w:val="20"/>
                <w:szCs w:val="20"/>
              </w:rPr>
            </w:pPr>
            <w:r w:rsidRPr="00ED3B24">
              <w:rPr>
                <w:sz w:val="20"/>
                <w:szCs w:val="20"/>
                <w:highlight w:val="yellow"/>
              </w:rPr>
              <w:t xml:space="preserve">&lt;1&gt; </w:t>
            </w:r>
            <w:r w:rsidR="0050528C" w:rsidRPr="00ED3B24">
              <w:rPr>
                <w:sz w:val="20"/>
                <w:szCs w:val="20"/>
                <w:highlight w:val="yellow"/>
              </w:rPr>
              <w:t>В данном приложении указаны тарифы на электрическую энергию (мощность),</w:t>
            </w:r>
            <w:r w:rsidR="00E95312">
              <w:rPr>
                <w:sz w:val="20"/>
                <w:szCs w:val="20"/>
                <w:highlight w:val="yellow"/>
              </w:rPr>
              <w:t xml:space="preserve"> производимую электростанциями ОО</w:t>
            </w:r>
            <w:bookmarkStart w:id="0" w:name="_GoBack"/>
            <w:bookmarkEnd w:id="0"/>
            <w:r w:rsidR="0050528C" w:rsidRPr="00ED3B24">
              <w:rPr>
                <w:sz w:val="20"/>
                <w:szCs w:val="20"/>
                <w:highlight w:val="yellow"/>
              </w:rPr>
              <w:t>О «</w:t>
            </w:r>
            <w:r w:rsidR="00E95312">
              <w:rPr>
                <w:sz w:val="20"/>
                <w:szCs w:val="20"/>
                <w:highlight w:val="yellow"/>
              </w:rPr>
              <w:t>Энергопрогноз</w:t>
            </w:r>
            <w:r w:rsidR="0050528C" w:rsidRPr="00ED3B24">
              <w:rPr>
                <w:sz w:val="20"/>
                <w:szCs w:val="20"/>
                <w:highlight w:val="yellow"/>
              </w:rPr>
              <w:t xml:space="preserve">» </w:t>
            </w:r>
            <w:r w:rsidR="00F41BD6" w:rsidRPr="00ED3B24">
              <w:rPr>
                <w:sz w:val="20"/>
                <w:szCs w:val="20"/>
                <w:highlight w:val="yellow"/>
              </w:rPr>
              <w:t xml:space="preserve">по объектам электроснабжения горнодобывающих предприятий </w:t>
            </w:r>
            <w:r w:rsidR="0050528C" w:rsidRPr="00ED3B24">
              <w:rPr>
                <w:sz w:val="20"/>
                <w:szCs w:val="20"/>
                <w:highlight w:val="yellow"/>
              </w:rPr>
              <w:t>(</w:t>
            </w:r>
            <w:r w:rsidR="00F41BD6" w:rsidRPr="00ED3B24">
              <w:rPr>
                <w:sz w:val="20"/>
                <w:szCs w:val="20"/>
                <w:highlight w:val="yellow"/>
              </w:rPr>
              <w:t>Пенжинский муниципальный район Камчатского края, месторождение «Аметистовое», Карагинский муниципальный район Камчатского края, месторождение «Озерновское», Олюторский муниципальный район Камчатского края, месторождение «Ледяной», месторождение «Левтыринываям», Быстринский муниципальный район Камчатского края, группа месторождений «Камчатское золото», «Камголд»</w:t>
            </w:r>
            <w:r w:rsidR="0050528C" w:rsidRPr="00ED3B24">
              <w:rPr>
                <w:sz w:val="20"/>
                <w:szCs w:val="20"/>
                <w:highlight w:val="yellow"/>
              </w:rPr>
              <w:t>), с использованием которых осуществляется производство и поставка электрической энергии (мощности) на розничном</w:t>
            </w:r>
            <w:r w:rsidR="0050528C">
              <w:rPr>
                <w:sz w:val="20"/>
                <w:szCs w:val="20"/>
              </w:rPr>
              <w:t xml:space="preserve"> рынке;</w:t>
            </w:r>
          </w:p>
          <w:p w:rsidR="00F41B23" w:rsidRPr="007066D7" w:rsidRDefault="003F401B" w:rsidP="0050528C">
            <w:pPr>
              <w:ind w:firstLine="709"/>
              <w:jc w:val="both"/>
              <w:rPr>
                <w:sz w:val="28"/>
                <w:szCs w:val="28"/>
              </w:rPr>
            </w:pPr>
            <w:r w:rsidRPr="0050528C">
              <w:rPr>
                <w:sz w:val="20"/>
                <w:szCs w:val="20"/>
              </w:rPr>
              <w:t xml:space="preserve">&lt;2&gt; </w:t>
            </w:r>
            <w:r w:rsidR="0050528C" w:rsidRPr="0050528C">
              <w:rPr>
                <w:sz w:val="20"/>
                <w:szCs w:val="20"/>
              </w:rPr>
              <w:t>Трехставочный тариф на территории Камчатского края в соответствии с пунктом 78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не устанавливается.</w:t>
            </w:r>
          </w:p>
        </w:tc>
      </w:tr>
    </w:tbl>
    <w:p w:rsidR="00242B5C" w:rsidRPr="006D0A04" w:rsidRDefault="00242B5C" w:rsidP="00155EB5"/>
    <w:sectPr w:rsidR="00242B5C" w:rsidRPr="006D0A04" w:rsidSect="002810BB">
      <w:pgSz w:w="11906" w:h="16838"/>
      <w:pgMar w:top="567" w:right="567" w:bottom="42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4B" w:rsidRDefault="00B81D4B" w:rsidP="004E22D3">
      <w:r>
        <w:separator/>
      </w:r>
    </w:p>
  </w:endnote>
  <w:endnote w:type="continuationSeparator" w:id="0">
    <w:p w:rsidR="00B81D4B" w:rsidRDefault="00B81D4B" w:rsidP="004E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4B" w:rsidRDefault="00B81D4B" w:rsidP="004E22D3">
      <w:r>
        <w:separator/>
      </w:r>
    </w:p>
  </w:footnote>
  <w:footnote w:type="continuationSeparator" w:id="0">
    <w:p w:rsidR="00B81D4B" w:rsidRDefault="00B81D4B" w:rsidP="004E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AA5FA0"/>
    <w:multiLevelType w:val="hybridMultilevel"/>
    <w:tmpl w:val="7F5AFE5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BFF7A13"/>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BD3E9F"/>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56C15AD"/>
    <w:multiLevelType w:val="hybridMultilevel"/>
    <w:tmpl w:val="D3E21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E7CE8"/>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013FC9"/>
    <w:multiLevelType w:val="hybridMultilevel"/>
    <w:tmpl w:val="B6D6C930"/>
    <w:lvl w:ilvl="0" w:tplc="526EC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1" w15:restartNumberingAfterBreak="0">
    <w:nsid w:val="392C1D44"/>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F7864A0"/>
    <w:multiLevelType w:val="hybridMultilevel"/>
    <w:tmpl w:val="59A6B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8B06C9"/>
    <w:multiLevelType w:val="hybridMultilevel"/>
    <w:tmpl w:val="EC30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7407BF"/>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C0C68D3"/>
    <w:multiLevelType w:val="hybridMultilevel"/>
    <w:tmpl w:val="CDD293D6"/>
    <w:lvl w:ilvl="0" w:tplc="0156AB34">
      <w:start w:val="1"/>
      <w:numFmt w:val="decimal"/>
      <w:lvlText w:val="%1."/>
      <w:lvlJc w:val="left"/>
      <w:pPr>
        <w:ind w:left="787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CC5167B"/>
    <w:multiLevelType w:val="hybridMultilevel"/>
    <w:tmpl w:val="06BA773A"/>
    <w:lvl w:ilvl="0" w:tplc="5C70C788">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2E173C"/>
    <w:multiLevelType w:val="hybridMultilevel"/>
    <w:tmpl w:val="93D03BD6"/>
    <w:lvl w:ilvl="0" w:tplc="0156AB3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3C7ED9"/>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4"/>
  </w:num>
  <w:num w:numId="5">
    <w:abstractNumId w:val="23"/>
  </w:num>
  <w:num w:numId="6">
    <w:abstractNumId w:val="22"/>
  </w:num>
  <w:num w:numId="7">
    <w:abstractNumId w:val="8"/>
  </w:num>
  <w:num w:numId="8">
    <w:abstractNumId w:val="0"/>
  </w:num>
  <w:num w:numId="9">
    <w:abstractNumId w:val="10"/>
  </w:num>
  <w:num w:numId="10">
    <w:abstractNumId w:val="13"/>
  </w:num>
  <w:num w:numId="11">
    <w:abstractNumId w:val="7"/>
  </w:num>
  <w:num w:numId="12">
    <w:abstractNumId w:val="16"/>
  </w:num>
  <w:num w:numId="13">
    <w:abstractNumId w:val="14"/>
  </w:num>
  <w:num w:numId="14">
    <w:abstractNumId w:val="1"/>
  </w:num>
  <w:num w:numId="15">
    <w:abstractNumId w:val="21"/>
  </w:num>
  <w:num w:numId="16">
    <w:abstractNumId w:val="20"/>
  </w:num>
  <w:num w:numId="17">
    <w:abstractNumId w:val="18"/>
  </w:num>
  <w:num w:numId="18">
    <w:abstractNumId w:val="6"/>
  </w:num>
  <w:num w:numId="19">
    <w:abstractNumId w:val="17"/>
  </w:num>
  <w:num w:numId="20">
    <w:abstractNumId w:val="3"/>
  </w:num>
  <w:num w:numId="21">
    <w:abstractNumId w:val="24"/>
  </w:num>
  <w:num w:numId="22">
    <w:abstractNumId w:val="2"/>
  </w:num>
  <w:num w:numId="23">
    <w:abstractNumId w:val="11"/>
  </w:num>
  <w:num w:numId="24">
    <w:abstractNumId w:val="19"/>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66"/>
    <w:rsid w:val="00001985"/>
    <w:rsid w:val="00003675"/>
    <w:rsid w:val="000048D1"/>
    <w:rsid w:val="00010141"/>
    <w:rsid w:val="000108D2"/>
    <w:rsid w:val="0001292C"/>
    <w:rsid w:val="00015347"/>
    <w:rsid w:val="00024F80"/>
    <w:rsid w:val="0003153F"/>
    <w:rsid w:val="00031864"/>
    <w:rsid w:val="00032137"/>
    <w:rsid w:val="000321AD"/>
    <w:rsid w:val="0003470B"/>
    <w:rsid w:val="0003795A"/>
    <w:rsid w:val="00043871"/>
    <w:rsid w:val="0004441C"/>
    <w:rsid w:val="00047B74"/>
    <w:rsid w:val="00054280"/>
    <w:rsid w:val="0007072A"/>
    <w:rsid w:val="000755E2"/>
    <w:rsid w:val="000772C3"/>
    <w:rsid w:val="00077576"/>
    <w:rsid w:val="00083411"/>
    <w:rsid w:val="00084AA1"/>
    <w:rsid w:val="00084E87"/>
    <w:rsid w:val="00090825"/>
    <w:rsid w:val="000957C3"/>
    <w:rsid w:val="000A62C8"/>
    <w:rsid w:val="000B36FB"/>
    <w:rsid w:val="000C0AF5"/>
    <w:rsid w:val="000C4494"/>
    <w:rsid w:val="000C7B92"/>
    <w:rsid w:val="000D0BBF"/>
    <w:rsid w:val="000D2088"/>
    <w:rsid w:val="000D3974"/>
    <w:rsid w:val="000D4863"/>
    <w:rsid w:val="000D4EDD"/>
    <w:rsid w:val="000D632F"/>
    <w:rsid w:val="000D6B12"/>
    <w:rsid w:val="000D7A94"/>
    <w:rsid w:val="000E0C2C"/>
    <w:rsid w:val="000E0E6E"/>
    <w:rsid w:val="000E1E14"/>
    <w:rsid w:val="000F40F8"/>
    <w:rsid w:val="000F41AF"/>
    <w:rsid w:val="000F5A9E"/>
    <w:rsid w:val="000F7856"/>
    <w:rsid w:val="001034DB"/>
    <w:rsid w:val="00107E15"/>
    <w:rsid w:val="00113060"/>
    <w:rsid w:val="0011399A"/>
    <w:rsid w:val="0011775B"/>
    <w:rsid w:val="00117C9F"/>
    <w:rsid w:val="001234D8"/>
    <w:rsid w:val="001246B6"/>
    <w:rsid w:val="001252AE"/>
    <w:rsid w:val="0014500C"/>
    <w:rsid w:val="001452CD"/>
    <w:rsid w:val="001474DF"/>
    <w:rsid w:val="00147FB0"/>
    <w:rsid w:val="00151A2F"/>
    <w:rsid w:val="00151FCB"/>
    <w:rsid w:val="00153D51"/>
    <w:rsid w:val="00155EB5"/>
    <w:rsid w:val="001565E4"/>
    <w:rsid w:val="0016175F"/>
    <w:rsid w:val="001734DE"/>
    <w:rsid w:val="00173CB1"/>
    <w:rsid w:val="00173F49"/>
    <w:rsid w:val="00175982"/>
    <w:rsid w:val="00182CE8"/>
    <w:rsid w:val="00184310"/>
    <w:rsid w:val="00185A0E"/>
    <w:rsid w:val="001862D2"/>
    <w:rsid w:val="00190F06"/>
    <w:rsid w:val="00194103"/>
    <w:rsid w:val="001977F6"/>
    <w:rsid w:val="001A0FFE"/>
    <w:rsid w:val="001A24D3"/>
    <w:rsid w:val="001A2C40"/>
    <w:rsid w:val="001A2E94"/>
    <w:rsid w:val="001B0A5C"/>
    <w:rsid w:val="001B0E38"/>
    <w:rsid w:val="001B1222"/>
    <w:rsid w:val="001B71E1"/>
    <w:rsid w:val="001B7B08"/>
    <w:rsid w:val="001B7D52"/>
    <w:rsid w:val="001C31CE"/>
    <w:rsid w:val="001C52B5"/>
    <w:rsid w:val="001C5F84"/>
    <w:rsid w:val="001D0BEE"/>
    <w:rsid w:val="001D2E05"/>
    <w:rsid w:val="001E05AD"/>
    <w:rsid w:val="001E4195"/>
    <w:rsid w:val="001E7491"/>
    <w:rsid w:val="001E7F6B"/>
    <w:rsid w:val="001F03B2"/>
    <w:rsid w:val="001F0DA1"/>
    <w:rsid w:val="001F4BC7"/>
    <w:rsid w:val="001F4DF7"/>
    <w:rsid w:val="002003C4"/>
    <w:rsid w:val="0020194F"/>
    <w:rsid w:val="00203313"/>
    <w:rsid w:val="00205A32"/>
    <w:rsid w:val="002130EC"/>
    <w:rsid w:val="00214C6C"/>
    <w:rsid w:val="002204F0"/>
    <w:rsid w:val="00220B88"/>
    <w:rsid w:val="0022267D"/>
    <w:rsid w:val="002230C2"/>
    <w:rsid w:val="00223E12"/>
    <w:rsid w:val="00223E73"/>
    <w:rsid w:val="00241D00"/>
    <w:rsid w:val="00242B5C"/>
    <w:rsid w:val="002462FC"/>
    <w:rsid w:val="00246F6F"/>
    <w:rsid w:val="0025013F"/>
    <w:rsid w:val="00250A19"/>
    <w:rsid w:val="002510A0"/>
    <w:rsid w:val="0025500E"/>
    <w:rsid w:val="00257B92"/>
    <w:rsid w:val="0026332D"/>
    <w:rsid w:val="00263887"/>
    <w:rsid w:val="002657B5"/>
    <w:rsid w:val="00266757"/>
    <w:rsid w:val="00266818"/>
    <w:rsid w:val="002678FD"/>
    <w:rsid w:val="002731AA"/>
    <w:rsid w:val="00276096"/>
    <w:rsid w:val="00276564"/>
    <w:rsid w:val="00277D0E"/>
    <w:rsid w:val="00280BC6"/>
    <w:rsid w:val="002810BB"/>
    <w:rsid w:val="00281A9D"/>
    <w:rsid w:val="002826E8"/>
    <w:rsid w:val="002834EA"/>
    <w:rsid w:val="00283BEC"/>
    <w:rsid w:val="00283D62"/>
    <w:rsid w:val="00284DC1"/>
    <w:rsid w:val="0029008E"/>
    <w:rsid w:val="00291445"/>
    <w:rsid w:val="00293775"/>
    <w:rsid w:val="00296752"/>
    <w:rsid w:val="002A256A"/>
    <w:rsid w:val="002A650C"/>
    <w:rsid w:val="002A6887"/>
    <w:rsid w:val="002B338C"/>
    <w:rsid w:val="002B37EC"/>
    <w:rsid w:val="002B3B12"/>
    <w:rsid w:val="002B59FE"/>
    <w:rsid w:val="002C12A0"/>
    <w:rsid w:val="002C16AE"/>
    <w:rsid w:val="002C2A2A"/>
    <w:rsid w:val="002C36D9"/>
    <w:rsid w:val="002C684E"/>
    <w:rsid w:val="002D045F"/>
    <w:rsid w:val="002E04A0"/>
    <w:rsid w:val="002E0859"/>
    <w:rsid w:val="002E0BAB"/>
    <w:rsid w:val="002E1AA4"/>
    <w:rsid w:val="002F3DCB"/>
    <w:rsid w:val="002F5EF6"/>
    <w:rsid w:val="00302B38"/>
    <w:rsid w:val="00312D2E"/>
    <w:rsid w:val="00313439"/>
    <w:rsid w:val="00313757"/>
    <w:rsid w:val="00315C3A"/>
    <w:rsid w:val="00315D2D"/>
    <w:rsid w:val="0031656B"/>
    <w:rsid w:val="0032238C"/>
    <w:rsid w:val="003241C0"/>
    <w:rsid w:val="00326243"/>
    <w:rsid w:val="003278E6"/>
    <w:rsid w:val="003335F6"/>
    <w:rsid w:val="00333A60"/>
    <w:rsid w:val="003350D7"/>
    <w:rsid w:val="00335FE8"/>
    <w:rsid w:val="00346AC9"/>
    <w:rsid w:val="003577D1"/>
    <w:rsid w:val="00360E6A"/>
    <w:rsid w:val="00361003"/>
    <w:rsid w:val="003614F2"/>
    <w:rsid w:val="00363181"/>
    <w:rsid w:val="00372EE5"/>
    <w:rsid w:val="00373512"/>
    <w:rsid w:val="00374ED6"/>
    <w:rsid w:val="00375D72"/>
    <w:rsid w:val="0037738F"/>
    <w:rsid w:val="003839DF"/>
    <w:rsid w:val="003839FE"/>
    <w:rsid w:val="00383C20"/>
    <w:rsid w:val="00386E5E"/>
    <w:rsid w:val="00387287"/>
    <w:rsid w:val="00392881"/>
    <w:rsid w:val="00393828"/>
    <w:rsid w:val="0039601A"/>
    <w:rsid w:val="0039696F"/>
    <w:rsid w:val="00396A96"/>
    <w:rsid w:val="003A05D3"/>
    <w:rsid w:val="003A5A03"/>
    <w:rsid w:val="003B1CC4"/>
    <w:rsid w:val="003B2CA3"/>
    <w:rsid w:val="003B72F3"/>
    <w:rsid w:val="003C7505"/>
    <w:rsid w:val="003D15D1"/>
    <w:rsid w:val="003D2812"/>
    <w:rsid w:val="003D2D68"/>
    <w:rsid w:val="003D3358"/>
    <w:rsid w:val="003D6622"/>
    <w:rsid w:val="003E061D"/>
    <w:rsid w:val="003E4066"/>
    <w:rsid w:val="003E4F71"/>
    <w:rsid w:val="003E6AD4"/>
    <w:rsid w:val="003F18B8"/>
    <w:rsid w:val="003F401B"/>
    <w:rsid w:val="003F7502"/>
    <w:rsid w:val="004054E8"/>
    <w:rsid w:val="0041384A"/>
    <w:rsid w:val="00415B51"/>
    <w:rsid w:val="0041792C"/>
    <w:rsid w:val="00434B47"/>
    <w:rsid w:val="00437AD9"/>
    <w:rsid w:val="0044059F"/>
    <w:rsid w:val="00444405"/>
    <w:rsid w:val="00444C5A"/>
    <w:rsid w:val="00446DAB"/>
    <w:rsid w:val="00447A96"/>
    <w:rsid w:val="00461A10"/>
    <w:rsid w:val="00464369"/>
    <w:rsid w:val="0047108F"/>
    <w:rsid w:val="00480237"/>
    <w:rsid w:val="004807C9"/>
    <w:rsid w:val="00484BA3"/>
    <w:rsid w:val="00484EC7"/>
    <w:rsid w:val="0049017B"/>
    <w:rsid w:val="0049308F"/>
    <w:rsid w:val="00493614"/>
    <w:rsid w:val="004A4A25"/>
    <w:rsid w:val="004A4AB5"/>
    <w:rsid w:val="004A4CA0"/>
    <w:rsid w:val="004A60AE"/>
    <w:rsid w:val="004B58B0"/>
    <w:rsid w:val="004C5912"/>
    <w:rsid w:val="004D0452"/>
    <w:rsid w:val="004D04C4"/>
    <w:rsid w:val="004D2127"/>
    <w:rsid w:val="004D36CD"/>
    <w:rsid w:val="004E22D3"/>
    <w:rsid w:val="004E23FA"/>
    <w:rsid w:val="004E2DCB"/>
    <w:rsid w:val="004E38CE"/>
    <w:rsid w:val="004F0BC7"/>
    <w:rsid w:val="004F0D9B"/>
    <w:rsid w:val="004F52CC"/>
    <w:rsid w:val="004F5ABD"/>
    <w:rsid w:val="004F75E3"/>
    <w:rsid w:val="004F780F"/>
    <w:rsid w:val="00500613"/>
    <w:rsid w:val="00502FA0"/>
    <w:rsid w:val="00503370"/>
    <w:rsid w:val="00504CC8"/>
    <w:rsid w:val="0050528C"/>
    <w:rsid w:val="005058D8"/>
    <w:rsid w:val="00506AAD"/>
    <w:rsid w:val="00511472"/>
    <w:rsid w:val="00525C4A"/>
    <w:rsid w:val="00526698"/>
    <w:rsid w:val="00526A76"/>
    <w:rsid w:val="0053330D"/>
    <w:rsid w:val="00533FBE"/>
    <w:rsid w:val="00534D11"/>
    <w:rsid w:val="00535BA7"/>
    <w:rsid w:val="00542F39"/>
    <w:rsid w:val="005506B1"/>
    <w:rsid w:val="00551A7C"/>
    <w:rsid w:val="00553024"/>
    <w:rsid w:val="00553333"/>
    <w:rsid w:val="00553626"/>
    <w:rsid w:val="00554D4F"/>
    <w:rsid w:val="00556A9D"/>
    <w:rsid w:val="0055754C"/>
    <w:rsid w:val="00562618"/>
    <w:rsid w:val="00563EB3"/>
    <w:rsid w:val="00567F96"/>
    <w:rsid w:val="0057310D"/>
    <w:rsid w:val="0057528D"/>
    <w:rsid w:val="0057560D"/>
    <w:rsid w:val="00580C1E"/>
    <w:rsid w:val="00592444"/>
    <w:rsid w:val="00595479"/>
    <w:rsid w:val="00595E34"/>
    <w:rsid w:val="005A031F"/>
    <w:rsid w:val="005A0796"/>
    <w:rsid w:val="005A1805"/>
    <w:rsid w:val="005A2EAE"/>
    <w:rsid w:val="005A31C6"/>
    <w:rsid w:val="005A58AD"/>
    <w:rsid w:val="005A7842"/>
    <w:rsid w:val="005B12FF"/>
    <w:rsid w:val="005B7A08"/>
    <w:rsid w:val="005C1AFD"/>
    <w:rsid w:val="005C549A"/>
    <w:rsid w:val="005D6B0F"/>
    <w:rsid w:val="005E6E1B"/>
    <w:rsid w:val="005E75E9"/>
    <w:rsid w:val="005F44F8"/>
    <w:rsid w:val="006005B0"/>
    <w:rsid w:val="00605889"/>
    <w:rsid w:val="00606C72"/>
    <w:rsid w:val="0061398B"/>
    <w:rsid w:val="00617B39"/>
    <w:rsid w:val="00623135"/>
    <w:rsid w:val="006235DC"/>
    <w:rsid w:val="00624529"/>
    <w:rsid w:val="00625AE3"/>
    <w:rsid w:val="006278A2"/>
    <w:rsid w:val="00627F26"/>
    <w:rsid w:val="00630DD4"/>
    <w:rsid w:val="0063412F"/>
    <w:rsid w:val="00636CC1"/>
    <w:rsid w:val="00643CED"/>
    <w:rsid w:val="00647223"/>
    <w:rsid w:val="0065140D"/>
    <w:rsid w:val="0065181C"/>
    <w:rsid w:val="00656F2C"/>
    <w:rsid w:val="00661F85"/>
    <w:rsid w:val="00661F9D"/>
    <w:rsid w:val="00663B6B"/>
    <w:rsid w:val="00664B4C"/>
    <w:rsid w:val="006700E4"/>
    <w:rsid w:val="006702CC"/>
    <w:rsid w:val="00676AA7"/>
    <w:rsid w:val="00677E27"/>
    <w:rsid w:val="00682CFE"/>
    <w:rsid w:val="006834E6"/>
    <w:rsid w:val="006844D9"/>
    <w:rsid w:val="0068688E"/>
    <w:rsid w:val="00694619"/>
    <w:rsid w:val="00695522"/>
    <w:rsid w:val="006A278F"/>
    <w:rsid w:val="006A41D0"/>
    <w:rsid w:val="006A4490"/>
    <w:rsid w:val="006A6562"/>
    <w:rsid w:val="006B00B6"/>
    <w:rsid w:val="006B2F6F"/>
    <w:rsid w:val="006B4FF6"/>
    <w:rsid w:val="006B51AC"/>
    <w:rsid w:val="006B7947"/>
    <w:rsid w:val="006C312E"/>
    <w:rsid w:val="006C498A"/>
    <w:rsid w:val="006C72DF"/>
    <w:rsid w:val="006C7EBF"/>
    <w:rsid w:val="006D0A04"/>
    <w:rsid w:val="006D11BC"/>
    <w:rsid w:val="006D3970"/>
    <w:rsid w:val="006D57CC"/>
    <w:rsid w:val="006D5842"/>
    <w:rsid w:val="006E1D55"/>
    <w:rsid w:val="006E316D"/>
    <w:rsid w:val="006F05E2"/>
    <w:rsid w:val="006F2297"/>
    <w:rsid w:val="006F6469"/>
    <w:rsid w:val="00701F54"/>
    <w:rsid w:val="00703BE0"/>
    <w:rsid w:val="0070479D"/>
    <w:rsid w:val="00705D28"/>
    <w:rsid w:val="007066D7"/>
    <w:rsid w:val="00706A0C"/>
    <w:rsid w:val="00710437"/>
    <w:rsid w:val="00711830"/>
    <w:rsid w:val="007124E4"/>
    <w:rsid w:val="00712940"/>
    <w:rsid w:val="007211AF"/>
    <w:rsid w:val="0073119E"/>
    <w:rsid w:val="007428FF"/>
    <w:rsid w:val="00750226"/>
    <w:rsid w:val="007568AA"/>
    <w:rsid w:val="007630BD"/>
    <w:rsid w:val="007666CB"/>
    <w:rsid w:val="0077304F"/>
    <w:rsid w:val="00773AD8"/>
    <w:rsid w:val="00773CDB"/>
    <w:rsid w:val="00774934"/>
    <w:rsid w:val="00776B7D"/>
    <w:rsid w:val="00780BDB"/>
    <w:rsid w:val="00780BF8"/>
    <w:rsid w:val="00781044"/>
    <w:rsid w:val="00782178"/>
    <w:rsid w:val="00786D25"/>
    <w:rsid w:val="00790229"/>
    <w:rsid w:val="00791D19"/>
    <w:rsid w:val="00796A34"/>
    <w:rsid w:val="00797A84"/>
    <w:rsid w:val="007A7F6E"/>
    <w:rsid w:val="007C41E4"/>
    <w:rsid w:val="007C6024"/>
    <w:rsid w:val="007D217F"/>
    <w:rsid w:val="007D4DF7"/>
    <w:rsid w:val="007D4E21"/>
    <w:rsid w:val="007D7B1E"/>
    <w:rsid w:val="007F388E"/>
    <w:rsid w:val="007F5CD4"/>
    <w:rsid w:val="007F6CCE"/>
    <w:rsid w:val="008033F2"/>
    <w:rsid w:val="00803784"/>
    <w:rsid w:val="00803FB1"/>
    <w:rsid w:val="0080608C"/>
    <w:rsid w:val="0080609E"/>
    <w:rsid w:val="00807139"/>
    <w:rsid w:val="00813B12"/>
    <w:rsid w:val="00816BAE"/>
    <w:rsid w:val="00820D58"/>
    <w:rsid w:val="00822852"/>
    <w:rsid w:val="00822934"/>
    <w:rsid w:val="00826B3D"/>
    <w:rsid w:val="00827AD2"/>
    <w:rsid w:val="00830D96"/>
    <w:rsid w:val="00837EC9"/>
    <w:rsid w:val="00842FAD"/>
    <w:rsid w:val="0084369F"/>
    <w:rsid w:val="00846B0C"/>
    <w:rsid w:val="00851F6C"/>
    <w:rsid w:val="0085269A"/>
    <w:rsid w:val="0085381E"/>
    <w:rsid w:val="00853EA3"/>
    <w:rsid w:val="00861D41"/>
    <w:rsid w:val="00864DF1"/>
    <w:rsid w:val="00871AE7"/>
    <w:rsid w:val="008736F2"/>
    <w:rsid w:val="00874E51"/>
    <w:rsid w:val="00875D1E"/>
    <w:rsid w:val="008817E7"/>
    <w:rsid w:val="008900EF"/>
    <w:rsid w:val="00890E74"/>
    <w:rsid w:val="008942FD"/>
    <w:rsid w:val="00895F4B"/>
    <w:rsid w:val="008B3117"/>
    <w:rsid w:val="008B34F2"/>
    <w:rsid w:val="008B442A"/>
    <w:rsid w:val="008C1696"/>
    <w:rsid w:val="008C5921"/>
    <w:rsid w:val="008C6FD4"/>
    <w:rsid w:val="008C73DD"/>
    <w:rsid w:val="008C7D1D"/>
    <w:rsid w:val="008D239A"/>
    <w:rsid w:val="008D3D53"/>
    <w:rsid w:val="008D5C90"/>
    <w:rsid w:val="008E0114"/>
    <w:rsid w:val="008F14E9"/>
    <w:rsid w:val="008F2701"/>
    <w:rsid w:val="008F31FA"/>
    <w:rsid w:val="009013D4"/>
    <w:rsid w:val="00902D76"/>
    <w:rsid w:val="00902FE1"/>
    <w:rsid w:val="009031AC"/>
    <w:rsid w:val="00903812"/>
    <w:rsid w:val="00914EA8"/>
    <w:rsid w:val="0091590E"/>
    <w:rsid w:val="00916124"/>
    <w:rsid w:val="00921DC4"/>
    <w:rsid w:val="009228C2"/>
    <w:rsid w:val="00925BFE"/>
    <w:rsid w:val="00925C03"/>
    <w:rsid w:val="009269CE"/>
    <w:rsid w:val="00930157"/>
    <w:rsid w:val="009375C2"/>
    <w:rsid w:val="009446E3"/>
    <w:rsid w:val="009506F7"/>
    <w:rsid w:val="00951BFC"/>
    <w:rsid w:val="00955C37"/>
    <w:rsid w:val="00956B07"/>
    <w:rsid w:val="00960257"/>
    <w:rsid w:val="00961411"/>
    <w:rsid w:val="009620C5"/>
    <w:rsid w:val="00964E3D"/>
    <w:rsid w:val="00967E19"/>
    <w:rsid w:val="00972ED9"/>
    <w:rsid w:val="009737C8"/>
    <w:rsid w:val="00974D8C"/>
    <w:rsid w:val="0097600B"/>
    <w:rsid w:val="00980B26"/>
    <w:rsid w:val="0098167E"/>
    <w:rsid w:val="00983FF7"/>
    <w:rsid w:val="00985A15"/>
    <w:rsid w:val="00986F9B"/>
    <w:rsid w:val="00987325"/>
    <w:rsid w:val="00990DC2"/>
    <w:rsid w:val="009918AA"/>
    <w:rsid w:val="00991BF5"/>
    <w:rsid w:val="00995512"/>
    <w:rsid w:val="0099688D"/>
    <w:rsid w:val="009A0B07"/>
    <w:rsid w:val="009A5547"/>
    <w:rsid w:val="009A561B"/>
    <w:rsid w:val="009A70EE"/>
    <w:rsid w:val="009A7BCE"/>
    <w:rsid w:val="009B3029"/>
    <w:rsid w:val="009B7E50"/>
    <w:rsid w:val="009C3CCC"/>
    <w:rsid w:val="009C41CC"/>
    <w:rsid w:val="009C482B"/>
    <w:rsid w:val="009C4F6C"/>
    <w:rsid w:val="009C52C4"/>
    <w:rsid w:val="009C6F06"/>
    <w:rsid w:val="009D2249"/>
    <w:rsid w:val="009D2692"/>
    <w:rsid w:val="009D3482"/>
    <w:rsid w:val="009D3B85"/>
    <w:rsid w:val="009E3DF3"/>
    <w:rsid w:val="009F1848"/>
    <w:rsid w:val="009F1BCF"/>
    <w:rsid w:val="009F22D2"/>
    <w:rsid w:val="009F37ED"/>
    <w:rsid w:val="009F3F2B"/>
    <w:rsid w:val="009F654C"/>
    <w:rsid w:val="009F6D91"/>
    <w:rsid w:val="009F738C"/>
    <w:rsid w:val="00A00AD2"/>
    <w:rsid w:val="00A010F3"/>
    <w:rsid w:val="00A01C9E"/>
    <w:rsid w:val="00A05DB8"/>
    <w:rsid w:val="00A1344A"/>
    <w:rsid w:val="00A137F0"/>
    <w:rsid w:val="00A162E1"/>
    <w:rsid w:val="00A24C0C"/>
    <w:rsid w:val="00A24FD7"/>
    <w:rsid w:val="00A25872"/>
    <w:rsid w:val="00A27D3D"/>
    <w:rsid w:val="00A3340D"/>
    <w:rsid w:val="00A4123A"/>
    <w:rsid w:val="00A43A7A"/>
    <w:rsid w:val="00A4413A"/>
    <w:rsid w:val="00A4585B"/>
    <w:rsid w:val="00A50B4C"/>
    <w:rsid w:val="00A51683"/>
    <w:rsid w:val="00A53257"/>
    <w:rsid w:val="00A5556B"/>
    <w:rsid w:val="00A57D9D"/>
    <w:rsid w:val="00A61F81"/>
    <w:rsid w:val="00A65ACF"/>
    <w:rsid w:val="00A66296"/>
    <w:rsid w:val="00A66D44"/>
    <w:rsid w:val="00A74DE2"/>
    <w:rsid w:val="00A760D3"/>
    <w:rsid w:val="00A8351E"/>
    <w:rsid w:val="00A83C78"/>
    <w:rsid w:val="00A84BE2"/>
    <w:rsid w:val="00A8533A"/>
    <w:rsid w:val="00A8547A"/>
    <w:rsid w:val="00A86AE7"/>
    <w:rsid w:val="00A873C3"/>
    <w:rsid w:val="00A92AAD"/>
    <w:rsid w:val="00A92B0C"/>
    <w:rsid w:val="00A953E3"/>
    <w:rsid w:val="00AA0AB0"/>
    <w:rsid w:val="00AA0D51"/>
    <w:rsid w:val="00AB3EB0"/>
    <w:rsid w:val="00AB4877"/>
    <w:rsid w:val="00AB51EC"/>
    <w:rsid w:val="00AC0106"/>
    <w:rsid w:val="00AC5303"/>
    <w:rsid w:val="00AC5483"/>
    <w:rsid w:val="00AC612E"/>
    <w:rsid w:val="00AD7258"/>
    <w:rsid w:val="00AD7B83"/>
    <w:rsid w:val="00AE4772"/>
    <w:rsid w:val="00AE7C90"/>
    <w:rsid w:val="00AF5583"/>
    <w:rsid w:val="00B078CA"/>
    <w:rsid w:val="00B143F7"/>
    <w:rsid w:val="00B169EA"/>
    <w:rsid w:val="00B16F56"/>
    <w:rsid w:val="00B2595E"/>
    <w:rsid w:val="00B2619D"/>
    <w:rsid w:val="00B31084"/>
    <w:rsid w:val="00B348A0"/>
    <w:rsid w:val="00B40CA8"/>
    <w:rsid w:val="00B44F77"/>
    <w:rsid w:val="00B46319"/>
    <w:rsid w:val="00B47CB8"/>
    <w:rsid w:val="00B506D6"/>
    <w:rsid w:val="00B50F3D"/>
    <w:rsid w:val="00B57A2A"/>
    <w:rsid w:val="00B57F9D"/>
    <w:rsid w:val="00B64ED8"/>
    <w:rsid w:val="00B66B9F"/>
    <w:rsid w:val="00B76A75"/>
    <w:rsid w:val="00B775BB"/>
    <w:rsid w:val="00B81D12"/>
    <w:rsid w:val="00B81D4B"/>
    <w:rsid w:val="00B82476"/>
    <w:rsid w:val="00B90355"/>
    <w:rsid w:val="00B90C3A"/>
    <w:rsid w:val="00B91FC5"/>
    <w:rsid w:val="00B92437"/>
    <w:rsid w:val="00B93708"/>
    <w:rsid w:val="00B93B34"/>
    <w:rsid w:val="00BB0DBF"/>
    <w:rsid w:val="00BB1F74"/>
    <w:rsid w:val="00BB34EB"/>
    <w:rsid w:val="00BB7E82"/>
    <w:rsid w:val="00BC0A72"/>
    <w:rsid w:val="00BC1A1A"/>
    <w:rsid w:val="00BD0B27"/>
    <w:rsid w:val="00BD24A1"/>
    <w:rsid w:val="00BD2970"/>
    <w:rsid w:val="00BD5407"/>
    <w:rsid w:val="00BD7C7C"/>
    <w:rsid w:val="00BE57A3"/>
    <w:rsid w:val="00BE7F77"/>
    <w:rsid w:val="00BF008D"/>
    <w:rsid w:val="00BF0139"/>
    <w:rsid w:val="00BF14E4"/>
    <w:rsid w:val="00BF1B80"/>
    <w:rsid w:val="00BF4BF5"/>
    <w:rsid w:val="00BF4CC0"/>
    <w:rsid w:val="00BF565E"/>
    <w:rsid w:val="00BF56D0"/>
    <w:rsid w:val="00BF60A3"/>
    <w:rsid w:val="00C03F41"/>
    <w:rsid w:val="00C10B80"/>
    <w:rsid w:val="00C11FEA"/>
    <w:rsid w:val="00C13C3F"/>
    <w:rsid w:val="00C174D2"/>
    <w:rsid w:val="00C23518"/>
    <w:rsid w:val="00C25513"/>
    <w:rsid w:val="00C25B9B"/>
    <w:rsid w:val="00C30350"/>
    <w:rsid w:val="00C340F0"/>
    <w:rsid w:val="00C3748B"/>
    <w:rsid w:val="00C40B31"/>
    <w:rsid w:val="00C45F1A"/>
    <w:rsid w:val="00C473C9"/>
    <w:rsid w:val="00C5592F"/>
    <w:rsid w:val="00C55AEF"/>
    <w:rsid w:val="00C56C92"/>
    <w:rsid w:val="00C61BCE"/>
    <w:rsid w:val="00C637F7"/>
    <w:rsid w:val="00C6410B"/>
    <w:rsid w:val="00C6435B"/>
    <w:rsid w:val="00C7016D"/>
    <w:rsid w:val="00C83F7D"/>
    <w:rsid w:val="00C8597E"/>
    <w:rsid w:val="00C87666"/>
    <w:rsid w:val="00C92AA0"/>
    <w:rsid w:val="00CA1CC1"/>
    <w:rsid w:val="00CA3D98"/>
    <w:rsid w:val="00CA441A"/>
    <w:rsid w:val="00CB0FD9"/>
    <w:rsid w:val="00CB3CF8"/>
    <w:rsid w:val="00CB416A"/>
    <w:rsid w:val="00CB593E"/>
    <w:rsid w:val="00CC176A"/>
    <w:rsid w:val="00CC5398"/>
    <w:rsid w:val="00CC5A79"/>
    <w:rsid w:val="00CD19BC"/>
    <w:rsid w:val="00CD2F79"/>
    <w:rsid w:val="00CD69CB"/>
    <w:rsid w:val="00CE5E0A"/>
    <w:rsid w:val="00CE6BF4"/>
    <w:rsid w:val="00CE7978"/>
    <w:rsid w:val="00CF15CE"/>
    <w:rsid w:val="00CF21ED"/>
    <w:rsid w:val="00D014EA"/>
    <w:rsid w:val="00D054D1"/>
    <w:rsid w:val="00D12DB8"/>
    <w:rsid w:val="00D173E3"/>
    <w:rsid w:val="00D21627"/>
    <w:rsid w:val="00D22049"/>
    <w:rsid w:val="00D305E6"/>
    <w:rsid w:val="00D34D6C"/>
    <w:rsid w:val="00D36817"/>
    <w:rsid w:val="00D40B12"/>
    <w:rsid w:val="00D4634D"/>
    <w:rsid w:val="00D46561"/>
    <w:rsid w:val="00D4770C"/>
    <w:rsid w:val="00D57E39"/>
    <w:rsid w:val="00D646F8"/>
    <w:rsid w:val="00D704CF"/>
    <w:rsid w:val="00D73DCE"/>
    <w:rsid w:val="00D745FD"/>
    <w:rsid w:val="00D749CA"/>
    <w:rsid w:val="00D81AA3"/>
    <w:rsid w:val="00D85668"/>
    <w:rsid w:val="00D86621"/>
    <w:rsid w:val="00D86CC0"/>
    <w:rsid w:val="00D92AE8"/>
    <w:rsid w:val="00DA32F9"/>
    <w:rsid w:val="00DA5E32"/>
    <w:rsid w:val="00DB25A7"/>
    <w:rsid w:val="00DB4DF1"/>
    <w:rsid w:val="00DB73B7"/>
    <w:rsid w:val="00DC66F8"/>
    <w:rsid w:val="00DD2371"/>
    <w:rsid w:val="00DD2DC4"/>
    <w:rsid w:val="00DD3B2F"/>
    <w:rsid w:val="00DD5E0E"/>
    <w:rsid w:val="00DD65E0"/>
    <w:rsid w:val="00DD7074"/>
    <w:rsid w:val="00DD7480"/>
    <w:rsid w:val="00DE26F4"/>
    <w:rsid w:val="00DE380D"/>
    <w:rsid w:val="00DE3E33"/>
    <w:rsid w:val="00DE47D9"/>
    <w:rsid w:val="00DE6D4E"/>
    <w:rsid w:val="00DF11C6"/>
    <w:rsid w:val="00DF1362"/>
    <w:rsid w:val="00DF44C6"/>
    <w:rsid w:val="00DF4EAC"/>
    <w:rsid w:val="00DF5080"/>
    <w:rsid w:val="00DF67A7"/>
    <w:rsid w:val="00E0021E"/>
    <w:rsid w:val="00E0070A"/>
    <w:rsid w:val="00E0585C"/>
    <w:rsid w:val="00E07E1B"/>
    <w:rsid w:val="00E12126"/>
    <w:rsid w:val="00E21E69"/>
    <w:rsid w:val="00E24BA4"/>
    <w:rsid w:val="00E26486"/>
    <w:rsid w:val="00E2652C"/>
    <w:rsid w:val="00E26E27"/>
    <w:rsid w:val="00E31079"/>
    <w:rsid w:val="00E34119"/>
    <w:rsid w:val="00E37DBB"/>
    <w:rsid w:val="00E43440"/>
    <w:rsid w:val="00E45D7C"/>
    <w:rsid w:val="00E504B3"/>
    <w:rsid w:val="00E53761"/>
    <w:rsid w:val="00E55C92"/>
    <w:rsid w:val="00E60137"/>
    <w:rsid w:val="00E6118C"/>
    <w:rsid w:val="00E61F55"/>
    <w:rsid w:val="00E67814"/>
    <w:rsid w:val="00E70629"/>
    <w:rsid w:val="00E807F8"/>
    <w:rsid w:val="00E8622D"/>
    <w:rsid w:val="00E8680A"/>
    <w:rsid w:val="00E907BA"/>
    <w:rsid w:val="00E9082D"/>
    <w:rsid w:val="00E95312"/>
    <w:rsid w:val="00E96DB2"/>
    <w:rsid w:val="00E972C1"/>
    <w:rsid w:val="00EA09D1"/>
    <w:rsid w:val="00EA5CFE"/>
    <w:rsid w:val="00EB081A"/>
    <w:rsid w:val="00EB3551"/>
    <w:rsid w:val="00EB3D9F"/>
    <w:rsid w:val="00EB4799"/>
    <w:rsid w:val="00EB47C5"/>
    <w:rsid w:val="00EC1CE0"/>
    <w:rsid w:val="00EC510D"/>
    <w:rsid w:val="00EC6817"/>
    <w:rsid w:val="00ED0933"/>
    <w:rsid w:val="00ED3B24"/>
    <w:rsid w:val="00ED5C5C"/>
    <w:rsid w:val="00ED7ABE"/>
    <w:rsid w:val="00EE0F69"/>
    <w:rsid w:val="00EE10C2"/>
    <w:rsid w:val="00EE416C"/>
    <w:rsid w:val="00EF0E9C"/>
    <w:rsid w:val="00EF2348"/>
    <w:rsid w:val="00EF2BF3"/>
    <w:rsid w:val="00EF5BDD"/>
    <w:rsid w:val="00EF5F8E"/>
    <w:rsid w:val="00F02134"/>
    <w:rsid w:val="00F06760"/>
    <w:rsid w:val="00F06A2C"/>
    <w:rsid w:val="00F107E5"/>
    <w:rsid w:val="00F15EFF"/>
    <w:rsid w:val="00F16300"/>
    <w:rsid w:val="00F217EF"/>
    <w:rsid w:val="00F23B80"/>
    <w:rsid w:val="00F24733"/>
    <w:rsid w:val="00F27D9C"/>
    <w:rsid w:val="00F30209"/>
    <w:rsid w:val="00F31D61"/>
    <w:rsid w:val="00F32FD7"/>
    <w:rsid w:val="00F34929"/>
    <w:rsid w:val="00F35231"/>
    <w:rsid w:val="00F3567B"/>
    <w:rsid w:val="00F358AC"/>
    <w:rsid w:val="00F37466"/>
    <w:rsid w:val="00F41B23"/>
    <w:rsid w:val="00F41BD6"/>
    <w:rsid w:val="00F440BA"/>
    <w:rsid w:val="00F505E1"/>
    <w:rsid w:val="00F50ACD"/>
    <w:rsid w:val="00F50C18"/>
    <w:rsid w:val="00F542FA"/>
    <w:rsid w:val="00F5482F"/>
    <w:rsid w:val="00F54E0F"/>
    <w:rsid w:val="00F577EF"/>
    <w:rsid w:val="00F617BA"/>
    <w:rsid w:val="00F619E1"/>
    <w:rsid w:val="00F64884"/>
    <w:rsid w:val="00F66775"/>
    <w:rsid w:val="00F706CA"/>
    <w:rsid w:val="00F713C8"/>
    <w:rsid w:val="00F7387C"/>
    <w:rsid w:val="00F800ED"/>
    <w:rsid w:val="00F81084"/>
    <w:rsid w:val="00F813C0"/>
    <w:rsid w:val="00F817DC"/>
    <w:rsid w:val="00F85A3D"/>
    <w:rsid w:val="00F93045"/>
    <w:rsid w:val="00F97263"/>
    <w:rsid w:val="00F97381"/>
    <w:rsid w:val="00FA4338"/>
    <w:rsid w:val="00FB1666"/>
    <w:rsid w:val="00FB27A9"/>
    <w:rsid w:val="00FB2D16"/>
    <w:rsid w:val="00FB5625"/>
    <w:rsid w:val="00FC0032"/>
    <w:rsid w:val="00FC1954"/>
    <w:rsid w:val="00FC4E1B"/>
    <w:rsid w:val="00FD00B7"/>
    <w:rsid w:val="00FD39A0"/>
    <w:rsid w:val="00FE583A"/>
    <w:rsid w:val="00FF0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29DDF-D0AD-4820-AB56-87313AD8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6E8"/>
    <w:rPr>
      <w:rFonts w:ascii="Times New Roman" w:eastAsia="Times New Roman" w:hAnsi="Times New Roman"/>
      <w:sz w:val="24"/>
      <w:szCs w:val="24"/>
    </w:rPr>
  </w:style>
  <w:style w:type="paragraph" w:styleId="1">
    <w:name w:val="heading 1"/>
    <w:basedOn w:val="a"/>
    <w:next w:val="a"/>
    <w:link w:val="10"/>
    <w:qFormat/>
    <w:rsid w:val="00F37466"/>
    <w:pPr>
      <w:keepNext/>
      <w:jc w:val="center"/>
      <w:outlineLvl w:val="0"/>
    </w:pPr>
    <w:rPr>
      <w:b/>
    </w:rPr>
  </w:style>
  <w:style w:type="paragraph" w:styleId="3">
    <w:name w:val="heading 3"/>
    <w:basedOn w:val="a"/>
    <w:next w:val="a"/>
    <w:link w:val="30"/>
    <w:qFormat/>
    <w:rsid w:val="00F37466"/>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37466"/>
    <w:rPr>
      <w:rFonts w:ascii="Times New Roman" w:eastAsia="Times New Roman" w:hAnsi="Times New Roman" w:cs="Times New Roman"/>
      <w:b/>
      <w:sz w:val="24"/>
      <w:szCs w:val="24"/>
      <w:lang w:eastAsia="ru-RU"/>
    </w:rPr>
  </w:style>
  <w:style w:type="character" w:customStyle="1" w:styleId="30">
    <w:name w:val="Заголовок 3 Знак"/>
    <w:link w:val="3"/>
    <w:rsid w:val="00F37466"/>
    <w:rPr>
      <w:rFonts w:ascii="Arial" w:eastAsia="Times New Roman" w:hAnsi="Arial" w:cs="Arial"/>
      <w:b/>
      <w:bCs/>
      <w:sz w:val="26"/>
      <w:szCs w:val="26"/>
      <w:lang w:eastAsia="ru-RU"/>
    </w:rPr>
  </w:style>
  <w:style w:type="paragraph" w:styleId="a3">
    <w:name w:val="Body Text"/>
    <w:basedOn w:val="a"/>
    <w:link w:val="a4"/>
    <w:rsid w:val="00F37466"/>
    <w:pPr>
      <w:jc w:val="both"/>
    </w:pPr>
    <w:rPr>
      <w:b/>
      <w:bCs/>
      <w:sz w:val="28"/>
    </w:rPr>
  </w:style>
  <w:style w:type="character" w:customStyle="1" w:styleId="a4">
    <w:name w:val="Основной текст Знак"/>
    <w:link w:val="a3"/>
    <w:rsid w:val="00F37466"/>
    <w:rPr>
      <w:rFonts w:ascii="Times New Roman" w:eastAsia="Times New Roman" w:hAnsi="Times New Roman" w:cs="Times New Roman"/>
      <w:b/>
      <w:bCs/>
      <w:sz w:val="28"/>
      <w:szCs w:val="24"/>
      <w:lang w:eastAsia="ru-RU"/>
    </w:rPr>
  </w:style>
  <w:style w:type="paragraph" w:styleId="a5">
    <w:name w:val="Balloon Text"/>
    <w:basedOn w:val="a"/>
    <w:link w:val="a6"/>
    <w:uiPriority w:val="99"/>
    <w:unhideWhenUsed/>
    <w:rsid w:val="00F37466"/>
    <w:rPr>
      <w:rFonts w:ascii="Tahoma" w:hAnsi="Tahoma"/>
      <w:sz w:val="16"/>
      <w:szCs w:val="16"/>
    </w:rPr>
  </w:style>
  <w:style w:type="character" w:customStyle="1" w:styleId="a6">
    <w:name w:val="Текст выноски Знак"/>
    <w:link w:val="a5"/>
    <w:uiPriority w:val="99"/>
    <w:rsid w:val="00F37466"/>
    <w:rPr>
      <w:rFonts w:ascii="Tahoma" w:eastAsia="Times New Roman" w:hAnsi="Tahoma" w:cs="Tahoma"/>
      <w:sz w:val="16"/>
      <w:szCs w:val="16"/>
      <w:lang w:eastAsia="ru-RU"/>
    </w:rPr>
  </w:style>
  <w:style w:type="paragraph" w:customStyle="1" w:styleId="11">
    <w:name w:val="Знак1 Знак Знак Знак"/>
    <w:basedOn w:val="a"/>
    <w:rsid w:val="00F37466"/>
    <w:pPr>
      <w:spacing w:after="160" w:line="240" w:lineRule="exact"/>
    </w:pPr>
    <w:rPr>
      <w:rFonts w:ascii="Verdana" w:hAnsi="Verdana"/>
      <w:sz w:val="20"/>
      <w:szCs w:val="20"/>
      <w:lang w:val="en-US" w:eastAsia="en-US"/>
    </w:rPr>
  </w:style>
  <w:style w:type="paragraph" w:styleId="2">
    <w:name w:val="Body Text 2"/>
    <w:basedOn w:val="a"/>
    <w:link w:val="20"/>
    <w:rsid w:val="00F37466"/>
    <w:pPr>
      <w:spacing w:after="120" w:line="480" w:lineRule="auto"/>
    </w:pPr>
  </w:style>
  <w:style w:type="character" w:customStyle="1" w:styleId="20">
    <w:name w:val="Основной текст 2 Знак"/>
    <w:link w:val="2"/>
    <w:rsid w:val="00F37466"/>
    <w:rPr>
      <w:rFonts w:ascii="Times New Roman" w:eastAsia="Times New Roman" w:hAnsi="Times New Roman" w:cs="Times New Roman"/>
      <w:sz w:val="24"/>
      <w:szCs w:val="24"/>
      <w:lang w:eastAsia="ru-RU"/>
    </w:rPr>
  </w:style>
  <w:style w:type="table" w:styleId="a7">
    <w:name w:val="Table Grid"/>
    <w:basedOn w:val="a1"/>
    <w:uiPriority w:val="59"/>
    <w:rsid w:val="009013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9013D4"/>
    <w:pPr>
      <w:spacing w:after="120"/>
    </w:pPr>
    <w:rPr>
      <w:sz w:val="16"/>
      <w:szCs w:val="16"/>
    </w:rPr>
  </w:style>
  <w:style w:type="character" w:customStyle="1" w:styleId="32">
    <w:name w:val="Основной текст 3 Знак"/>
    <w:link w:val="31"/>
    <w:rsid w:val="009013D4"/>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4E22D3"/>
    <w:pPr>
      <w:tabs>
        <w:tab w:val="center" w:pos="4677"/>
        <w:tab w:val="right" w:pos="9355"/>
      </w:tabs>
    </w:pPr>
  </w:style>
  <w:style w:type="character" w:customStyle="1" w:styleId="a9">
    <w:name w:val="Верхний колонтитул Знак"/>
    <w:link w:val="a8"/>
    <w:uiPriority w:val="99"/>
    <w:rsid w:val="004E22D3"/>
    <w:rPr>
      <w:rFonts w:ascii="Times New Roman" w:eastAsia="Times New Roman" w:hAnsi="Times New Roman"/>
      <w:sz w:val="24"/>
      <w:szCs w:val="24"/>
    </w:rPr>
  </w:style>
  <w:style w:type="paragraph" w:styleId="aa">
    <w:name w:val="footer"/>
    <w:basedOn w:val="a"/>
    <w:link w:val="ab"/>
    <w:uiPriority w:val="99"/>
    <w:unhideWhenUsed/>
    <w:rsid w:val="004E22D3"/>
    <w:pPr>
      <w:tabs>
        <w:tab w:val="center" w:pos="4677"/>
        <w:tab w:val="right" w:pos="9355"/>
      </w:tabs>
    </w:pPr>
  </w:style>
  <w:style w:type="character" w:customStyle="1" w:styleId="ab">
    <w:name w:val="Нижний колонтитул Знак"/>
    <w:link w:val="aa"/>
    <w:uiPriority w:val="99"/>
    <w:rsid w:val="004E22D3"/>
    <w:rPr>
      <w:rFonts w:ascii="Times New Roman" w:eastAsia="Times New Roman" w:hAnsi="Times New Roman"/>
      <w:sz w:val="24"/>
      <w:szCs w:val="24"/>
    </w:rPr>
  </w:style>
  <w:style w:type="paragraph" w:customStyle="1" w:styleId="12">
    <w:name w:val="Знак1 Знак Знак Знак"/>
    <w:basedOn w:val="a"/>
    <w:rsid w:val="009031AC"/>
    <w:pPr>
      <w:spacing w:after="160" w:line="240" w:lineRule="exact"/>
    </w:pPr>
    <w:rPr>
      <w:rFonts w:ascii="Verdana" w:hAnsi="Verdana"/>
      <w:sz w:val="20"/>
      <w:szCs w:val="20"/>
      <w:lang w:val="en-US" w:eastAsia="en-US"/>
    </w:rPr>
  </w:style>
  <w:style w:type="paragraph" w:styleId="ac">
    <w:name w:val="Body Text Indent"/>
    <w:basedOn w:val="a"/>
    <w:link w:val="ad"/>
    <w:rsid w:val="009031AC"/>
    <w:pPr>
      <w:spacing w:after="120"/>
      <w:ind w:left="283"/>
    </w:pPr>
  </w:style>
  <w:style w:type="character" w:customStyle="1" w:styleId="ad">
    <w:name w:val="Основной текст с отступом Знак"/>
    <w:link w:val="ac"/>
    <w:rsid w:val="009031AC"/>
    <w:rPr>
      <w:rFonts w:ascii="Times New Roman" w:eastAsia="Times New Roman" w:hAnsi="Times New Roman"/>
      <w:sz w:val="24"/>
      <w:szCs w:val="24"/>
    </w:rPr>
  </w:style>
  <w:style w:type="character" w:customStyle="1" w:styleId="ae">
    <w:name w:val="Гипертекстовая ссылка"/>
    <w:uiPriority w:val="99"/>
    <w:rsid w:val="009031AC"/>
    <w:rPr>
      <w:color w:val="008000"/>
    </w:rPr>
  </w:style>
  <w:style w:type="paragraph" w:customStyle="1" w:styleId="af">
    <w:name w:val="Таблицы (моноширинный)"/>
    <w:basedOn w:val="a"/>
    <w:next w:val="a"/>
    <w:rsid w:val="009031AC"/>
    <w:pPr>
      <w:widowControl w:val="0"/>
      <w:autoSpaceDE w:val="0"/>
      <w:autoSpaceDN w:val="0"/>
      <w:adjustRightInd w:val="0"/>
      <w:jc w:val="both"/>
    </w:pPr>
    <w:rPr>
      <w:rFonts w:ascii="Courier New" w:hAnsi="Courier New" w:cs="Courier New"/>
    </w:rPr>
  </w:style>
  <w:style w:type="character" w:styleId="af0">
    <w:name w:val="Emphasis"/>
    <w:qFormat/>
    <w:rsid w:val="009031AC"/>
    <w:rPr>
      <w:i/>
      <w:iCs/>
    </w:rPr>
  </w:style>
  <w:style w:type="character" w:customStyle="1" w:styleId="af1">
    <w:name w:val="Цветовое выделение"/>
    <w:uiPriority w:val="99"/>
    <w:rsid w:val="00A43A7A"/>
    <w:rPr>
      <w:b/>
      <w:color w:val="000080"/>
    </w:rPr>
  </w:style>
  <w:style w:type="paragraph" w:customStyle="1" w:styleId="af2">
    <w:name w:val="Нормальный (таблица)"/>
    <w:basedOn w:val="a"/>
    <w:next w:val="a"/>
    <w:uiPriority w:val="99"/>
    <w:rsid w:val="00A43A7A"/>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A43A7A"/>
    <w:pPr>
      <w:widowControl w:val="0"/>
      <w:autoSpaceDE w:val="0"/>
      <w:autoSpaceDN w:val="0"/>
      <w:adjustRightInd w:val="0"/>
    </w:pPr>
    <w:rPr>
      <w:rFonts w:ascii="Arial" w:hAnsi="Arial" w:cs="Arial"/>
    </w:rPr>
  </w:style>
  <w:style w:type="paragraph" w:styleId="af4">
    <w:name w:val="footnote text"/>
    <w:basedOn w:val="a"/>
    <w:link w:val="af5"/>
    <w:uiPriority w:val="99"/>
    <w:semiHidden/>
    <w:unhideWhenUsed/>
    <w:rsid w:val="00750226"/>
    <w:rPr>
      <w:sz w:val="20"/>
      <w:szCs w:val="20"/>
    </w:rPr>
  </w:style>
  <w:style w:type="character" w:customStyle="1" w:styleId="af5">
    <w:name w:val="Текст сноски Знак"/>
    <w:link w:val="af4"/>
    <w:uiPriority w:val="99"/>
    <w:semiHidden/>
    <w:rsid w:val="00750226"/>
    <w:rPr>
      <w:rFonts w:ascii="Times New Roman" w:eastAsia="Times New Roman" w:hAnsi="Times New Roman"/>
    </w:rPr>
  </w:style>
  <w:style w:type="character" w:styleId="af6">
    <w:name w:val="footnote reference"/>
    <w:uiPriority w:val="99"/>
    <w:semiHidden/>
    <w:unhideWhenUsed/>
    <w:rsid w:val="00750226"/>
    <w:rPr>
      <w:vertAlign w:val="superscript"/>
    </w:rPr>
  </w:style>
  <w:style w:type="paragraph" w:customStyle="1" w:styleId="ConsPlusCell">
    <w:name w:val="ConsPlusCell"/>
    <w:uiPriority w:val="99"/>
    <w:rsid w:val="00FD39A0"/>
    <w:pPr>
      <w:widowControl w:val="0"/>
      <w:autoSpaceDE w:val="0"/>
      <w:autoSpaceDN w:val="0"/>
      <w:adjustRightInd w:val="0"/>
    </w:pPr>
    <w:rPr>
      <w:rFonts w:eastAsia="Times New Roman" w:cs="Calibri"/>
      <w:sz w:val="22"/>
      <w:szCs w:val="22"/>
    </w:rPr>
  </w:style>
  <w:style w:type="character" w:customStyle="1" w:styleId="13">
    <w:name w:val="Основной текст с отступом Знак1"/>
    <w:uiPriority w:val="99"/>
    <w:semiHidden/>
    <w:rsid w:val="00A86AE7"/>
    <w:rPr>
      <w:rFonts w:ascii="Times New Roman" w:eastAsia="Times New Roman" w:hAnsi="Times New Roman" w:cs="Times New Roman"/>
      <w:sz w:val="24"/>
      <w:szCs w:val="24"/>
      <w:lang w:eastAsia="ru-RU"/>
    </w:rPr>
  </w:style>
  <w:style w:type="character" w:customStyle="1" w:styleId="14">
    <w:name w:val="Нижний колонтитул Знак1"/>
    <w:uiPriority w:val="99"/>
    <w:semiHidden/>
    <w:rsid w:val="00554D4F"/>
    <w:rPr>
      <w:rFonts w:ascii="Times New Roman" w:eastAsia="Times New Roman" w:hAnsi="Times New Roman" w:cs="Times New Roman"/>
      <w:sz w:val="24"/>
      <w:szCs w:val="24"/>
      <w:lang w:eastAsia="ru-RU"/>
    </w:rPr>
  </w:style>
  <w:style w:type="paragraph" w:styleId="af7">
    <w:name w:val="List Paragraph"/>
    <w:basedOn w:val="a"/>
    <w:uiPriority w:val="34"/>
    <w:qFormat/>
    <w:rsid w:val="00E8622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62657">
      <w:bodyDiv w:val="1"/>
      <w:marLeft w:val="0"/>
      <w:marRight w:val="0"/>
      <w:marTop w:val="0"/>
      <w:marBottom w:val="0"/>
      <w:divBdr>
        <w:top w:val="none" w:sz="0" w:space="0" w:color="auto"/>
        <w:left w:val="none" w:sz="0" w:space="0" w:color="auto"/>
        <w:bottom w:val="none" w:sz="0" w:space="0" w:color="auto"/>
        <w:right w:val="none" w:sz="0" w:space="0" w:color="auto"/>
      </w:divBdr>
    </w:div>
    <w:div w:id="445539272">
      <w:bodyDiv w:val="1"/>
      <w:marLeft w:val="0"/>
      <w:marRight w:val="0"/>
      <w:marTop w:val="0"/>
      <w:marBottom w:val="0"/>
      <w:divBdr>
        <w:top w:val="none" w:sz="0" w:space="0" w:color="auto"/>
        <w:left w:val="none" w:sz="0" w:space="0" w:color="auto"/>
        <w:bottom w:val="none" w:sz="0" w:space="0" w:color="auto"/>
        <w:right w:val="none" w:sz="0" w:space="0" w:color="auto"/>
      </w:divBdr>
    </w:div>
    <w:div w:id="682434442">
      <w:bodyDiv w:val="1"/>
      <w:marLeft w:val="0"/>
      <w:marRight w:val="0"/>
      <w:marTop w:val="0"/>
      <w:marBottom w:val="0"/>
      <w:divBdr>
        <w:top w:val="none" w:sz="0" w:space="0" w:color="auto"/>
        <w:left w:val="none" w:sz="0" w:space="0" w:color="auto"/>
        <w:bottom w:val="none" w:sz="0" w:space="0" w:color="auto"/>
        <w:right w:val="none" w:sz="0" w:space="0" w:color="auto"/>
      </w:divBdr>
    </w:div>
    <w:div w:id="875310851">
      <w:bodyDiv w:val="1"/>
      <w:marLeft w:val="0"/>
      <w:marRight w:val="0"/>
      <w:marTop w:val="0"/>
      <w:marBottom w:val="0"/>
      <w:divBdr>
        <w:top w:val="none" w:sz="0" w:space="0" w:color="auto"/>
        <w:left w:val="none" w:sz="0" w:space="0" w:color="auto"/>
        <w:bottom w:val="none" w:sz="0" w:space="0" w:color="auto"/>
        <w:right w:val="none" w:sz="0" w:space="0" w:color="auto"/>
      </w:divBdr>
    </w:div>
    <w:div w:id="1352880806">
      <w:bodyDiv w:val="1"/>
      <w:marLeft w:val="0"/>
      <w:marRight w:val="0"/>
      <w:marTop w:val="0"/>
      <w:marBottom w:val="0"/>
      <w:divBdr>
        <w:top w:val="none" w:sz="0" w:space="0" w:color="auto"/>
        <w:left w:val="none" w:sz="0" w:space="0" w:color="auto"/>
        <w:bottom w:val="none" w:sz="0" w:space="0" w:color="auto"/>
        <w:right w:val="none" w:sz="0" w:space="0" w:color="auto"/>
      </w:divBdr>
    </w:div>
    <w:div w:id="1414888665">
      <w:bodyDiv w:val="1"/>
      <w:marLeft w:val="0"/>
      <w:marRight w:val="0"/>
      <w:marTop w:val="0"/>
      <w:marBottom w:val="0"/>
      <w:divBdr>
        <w:top w:val="none" w:sz="0" w:space="0" w:color="auto"/>
        <w:left w:val="none" w:sz="0" w:space="0" w:color="auto"/>
        <w:bottom w:val="none" w:sz="0" w:space="0" w:color="auto"/>
        <w:right w:val="none" w:sz="0" w:space="0" w:color="auto"/>
      </w:divBdr>
    </w:div>
    <w:div w:id="1524243838">
      <w:bodyDiv w:val="1"/>
      <w:marLeft w:val="0"/>
      <w:marRight w:val="0"/>
      <w:marTop w:val="0"/>
      <w:marBottom w:val="0"/>
      <w:divBdr>
        <w:top w:val="none" w:sz="0" w:space="0" w:color="auto"/>
        <w:left w:val="none" w:sz="0" w:space="0" w:color="auto"/>
        <w:bottom w:val="none" w:sz="0" w:space="0" w:color="auto"/>
        <w:right w:val="none" w:sz="0" w:space="0" w:color="auto"/>
      </w:divBdr>
    </w:div>
    <w:div w:id="1596788810">
      <w:bodyDiv w:val="1"/>
      <w:marLeft w:val="0"/>
      <w:marRight w:val="0"/>
      <w:marTop w:val="0"/>
      <w:marBottom w:val="0"/>
      <w:divBdr>
        <w:top w:val="none" w:sz="0" w:space="0" w:color="auto"/>
        <w:left w:val="none" w:sz="0" w:space="0" w:color="auto"/>
        <w:bottom w:val="none" w:sz="0" w:space="0" w:color="auto"/>
        <w:right w:val="none" w:sz="0" w:space="0" w:color="auto"/>
      </w:divBdr>
    </w:div>
    <w:div w:id="17698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C651-6E9C-4C76-86DD-4F5A73B1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Анатольевна</dc:creator>
  <cp:lastModifiedBy>Лопатникова Марина Викторовна</cp:lastModifiedBy>
  <cp:revision>3</cp:revision>
  <cp:lastPrinted>2017-12-26T03:32:00Z</cp:lastPrinted>
  <dcterms:created xsi:type="dcterms:W3CDTF">2018-10-16T04:54:00Z</dcterms:created>
  <dcterms:modified xsi:type="dcterms:W3CDTF">2018-10-16T05:00:00Z</dcterms:modified>
</cp:coreProperties>
</file>