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6FA2" w:rsidRPr="00692A6E" w:rsidRDefault="00966EAA" w:rsidP="00966EA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966EAA">
        <w:rPr>
          <w:rFonts w:ascii="Times New Roman" w:hAnsi="Times New Roman"/>
          <w:b/>
          <w:sz w:val="28"/>
        </w:rPr>
        <w:t xml:space="preserve">Об утверждении предельных снабженческо-сбытовых и розничных торговых надбавок на отдельные категории товаров, на территории </w:t>
      </w:r>
      <w:r w:rsidRPr="00692A6E">
        <w:rPr>
          <w:rFonts w:ascii="Times New Roman" w:hAnsi="Times New Roman"/>
          <w:b/>
          <w:sz w:val="28"/>
        </w:rPr>
        <w:t>Камчатского края</w:t>
      </w:r>
    </w:p>
    <w:p w:rsidR="00ED738C" w:rsidRPr="00692A6E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66EAA" w:rsidRPr="00692A6E" w:rsidRDefault="00966EA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692A6E" w:rsidRDefault="00966EAA" w:rsidP="005321E4">
      <w:pPr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 w:rsidRPr="00692A6E">
        <w:rPr>
          <w:rFonts w:ascii="Times New Roman" w:hAnsi="Times New Roman"/>
          <w:sz w:val="28"/>
        </w:rPr>
        <w:t>В соответствии с постановлением Правительства Российской Федерации от 7 марта 1995 года № 239 «О мерах по упорядочению государственного регулирования цен (тарифов)», постановлени</w:t>
      </w:r>
      <w:r w:rsidR="002174D8" w:rsidRPr="00692A6E">
        <w:rPr>
          <w:rFonts w:ascii="Times New Roman" w:hAnsi="Times New Roman"/>
          <w:sz w:val="28"/>
        </w:rPr>
        <w:t>ем</w:t>
      </w:r>
      <w:r w:rsidRPr="00692A6E">
        <w:rPr>
          <w:rFonts w:ascii="Times New Roman" w:hAnsi="Times New Roman"/>
          <w:sz w:val="28"/>
        </w:rPr>
        <w:t xml:space="preserve"> Правительства Камчатского края от 30 июля 2015 года № 274-П «Об утверждении порядка установления предельных размеров снабженческо-сбытовых и торговых надбавок к ценам на продукцию и товары, реализуемые в Камчатском крае»</w:t>
      </w:r>
    </w:p>
    <w:p w:rsidR="00ED738C" w:rsidRPr="00692A6E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692A6E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92A6E">
        <w:rPr>
          <w:rFonts w:ascii="Times New Roman" w:hAnsi="Times New Roman"/>
          <w:sz w:val="28"/>
        </w:rPr>
        <w:t>ПРАВИТЕЛЬСТВО ПОСТАНОВЛЯЕТ:</w:t>
      </w:r>
    </w:p>
    <w:p w:rsidR="00ED738C" w:rsidRPr="00692A6E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692A6E" w:rsidRDefault="00966EAA" w:rsidP="005321E4">
      <w:pPr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 w:rsidRPr="00692A6E">
        <w:rPr>
          <w:rFonts w:ascii="Times New Roman" w:hAnsi="Times New Roman"/>
          <w:sz w:val="28"/>
        </w:rPr>
        <w:t>1. Утвердить предельные размеры торговых надбавок согласно приложению</w:t>
      </w:r>
      <w:r w:rsidR="003E20D5">
        <w:rPr>
          <w:rFonts w:ascii="Times New Roman" w:hAnsi="Times New Roman"/>
          <w:sz w:val="28"/>
        </w:rPr>
        <w:t xml:space="preserve"> к настоящему постановлению</w:t>
      </w:r>
      <w:r w:rsidRPr="00692A6E">
        <w:rPr>
          <w:rFonts w:ascii="Times New Roman" w:hAnsi="Times New Roman"/>
          <w:sz w:val="28"/>
        </w:rPr>
        <w:t>.</w:t>
      </w:r>
    </w:p>
    <w:p w:rsidR="00966EAA" w:rsidRPr="00692A6E" w:rsidRDefault="005321E4" w:rsidP="005321E4">
      <w:pPr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 w:rsidRPr="00692A6E">
        <w:rPr>
          <w:rFonts w:ascii="Times New Roman" w:hAnsi="Times New Roman"/>
          <w:sz w:val="28"/>
        </w:rPr>
        <w:t>2</w:t>
      </w:r>
      <w:r w:rsidR="00966EAA" w:rsidRPr="00692A6E">
        <w:rPr>
          <w:rFonts w:ascii="Times New Roman" w:hAnsi="Times New Roman"/>
          <w:sz w:val="28"/>
        </w:rPr>
        <w:t xml:space="preserve">. Настоящее постановление вступает в силу </w:t>
      </w:r>
      <w:r w:rsidR="00966EAA" w:rsidRPr="007A0F90">
        <w:rPr>
          <w:rFonts w:ascii="Times New Roman" w:hAnsi="Times New Roman"/>
          <w:sz w:val="28"/>
        </w:rPr>
        <w:t xml:space="preserve">с 1 </w:t>
      </w:r>
      <w:r w:rsidR="007A0F90" w:rsidRPr="007A0F90">
        <w:rPr>
          <w:rFonts w:ascii="Times New Roman" w:hAnsi="Times New Roman"/>
          <w:sz w:val="28"/>
        </w:rPr>
        <w:t>мая</w:t>
      </w:r>
      <w:r w:rsidR="00966EAA" w:rsidRPr="007A0F90">
        <w:rPr>
          <w:rFonts w:ascii="Times New Roman" w:hAnsi="Times New Roman"/>
          <w:sz w:val="28"/>
        </w:rPr>
        <w:t xml:space="preserve"> 2025 года.</w:t>
      </w:r>
    </w:p>
    <w:p w:rsidR="00ED738C" w:rsidRPr="00692A6E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692A6E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Pr="00692A6E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692A6E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C652AE" w:rsidRPr="00692A6E" w:rsidRDefault="00C652AE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692A6E">
              <w:rPr>
                <w:rFonts w:ascii="Times New Roman" w:hAnsi="Times New Roman"/>
                <w:color w:val="000000" w:themeColor="text1"/>
                <w:sz w:val="28"/>
              </w:rPr>
              <w:t xml:space="preserve">Временно исполняющий обязанности </w:t>
            </w:r>
            <w:r w:rsidR="001779EA" w:rsidRPr="00692A6E">
              <w:rPr>
                <w:rFonts w:ascii="Times New Roman" w:hAnsi="Times New Roman"/>
                <w:color w:val="000000" w:themeColor="text1"/>
                <w:sz w:val="28"/>
              </w:rPr>
              <w:t>Председател</w:t>
            </w:r>
            <w:r w:rsidRPr="00692A6E">
              <w:rPr>
                <w:rFonts w:ascii="Times New Roman" w:hAnsi="Times New Roman"/>
                <w:color w:val="000000" w:themeColor="text1"/>
                <w:sz w:val="28"/>
              </w:rPr>
              <w:t>я</w:t>
            </w:r>
            <w:r w:rsidR="001779EA" w:rsidRPr="00692A6E">
              <w:rPr>
                <w:rFonts w:ascii="Times New Roman" w:hAnsi="Times New Roman"/>
                <w:color w:val="000000" w:themeColor="text1"/>
                <w:sz w:val="28"/>
              </w:rPr>
              <w:t xml:space="preserve"> Правительства </w:t>
            </w:r>
          </w:p>
          <w:p w:rsidR="00ED738C" w:rsidRPr="00692A6E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2A6E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692A6E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Pr="00692A6E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Pr="00692A6E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692A6E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692A6E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692A6E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3E20D5" w:rsidRDefault="003E20D5" w:rsidP="00C652A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3E20D5" w:rsidRDefault="003E20D5" w:rsidP="00C652A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692A6E" w:rsidRDefault="00C652AE" w:rsidP="00C652A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692A6E"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692A6E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A6E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 w:rsidRPr="00692A6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692A6E"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 w:rsidRPr="00692A6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692A6E"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 w:rsidRPr="00692A6E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692A6E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692A6E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692A6E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692A6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692A6E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692A6E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692A6E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AE6038" w:rsidRPr="00692A6E" w:rsidRDefault="00AE6038" w:rsidP="00204703">
      <w:pPr>
        <w:spacing w:after="0" w:line="240" w:lineRule="auto"/>
        <w:jc w:val="both"/>
        <w:rPr>
          <w:rFonts w:ascii="Times New Roman" w:hAnsi="Times New Roman"/>
        </w:rPr>
      </w:pPr>
    </w:p>
    <w:p w:rsidR="00ED738C" w:rsidRPr="00692A6E" w:rsidRDefault="00AE6038" w:rsidP="00AE60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92A6E">
        <w:rPr>
          <w:rFonts w:ascii="Times New Roman" w:hAnsi="Times New Roman"/>
          <w:b/>
          <w:sz w:val="28"/>
        </w:rPr>
        <w:t xml:space="preserve">Перечень предельных торговых надбавок </w:t>
      </w:r>
    </w:p>
    <w:p w:rsidR="00AE6038" w:rsidRPr="00692A6E" w:rsidRDefault="00AE6038" w:rsidP="0020470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670"/>
      </w:tblGrid>
      <w:tr w:rsidR="0016249E" w:rsidRPr="0083644C" w:rsidTr="0016249E">
        <w:trPr>
          <w:trHeight w:val="470"/>
        </w:trPr>
        <w:tc>
          <w:tcPr>
            <w:tcW w:w="562" w:type="dxa"/>
            <w:vMerge w:val="restart"/>
            <w:vAlign w:val="center"/>
          </w:tcPr>
          <w:p w:rsidR="0016249E" w:rsidRPr="00480832" w:rsidRDefault="0016249E" w:rsidP="00180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16249E" w:rsidRPr="00480832" w:rsidRDefault="0016249E" w:rsidP="00F14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07096" w:rsidRPr="00480832">
              <w:rPr>
                <w:rFonts w:ascii="Times New Roman" w:hAnsi="Times New Roman"/>
                <w:sz w:val="24"/>
                <w:szCs w:val="24"/>
              </w:rPr>
              <w:t>продукции/</w:t>
            </w:r>
            <w:r w:rsidRPr="00480832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5670" w:type="dxa"/>
            <w:vAlign w:val="center"/>
          </w:tcPr>
          <w:p w:rsidR="0016249E" w:rsidRPr="00480832" w:rsidRDefault="0016249E" w:rsidP="00522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Размер предельной торговой надбавки, в %</w:t>
            </w:r>
          </w:p>
        </w:tc>
      </w:tr>
      <w:tr w:rsidR="0016249E" w:rsidRPr="0083644C" w:rsidTr="0016249E">
        <w:tc>
          <w:tcPr>
            <w:tcW w:w="562" w:type="dxa"/>
            <w:vMerge/>
          </w:tcPr>
          <w:p w:rsidR="0016249E" w:rsidRPr="00480832" w:rsidRDefault="0016249E" w:rsidP="00204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6249E" w:rsidRPr="00480832" w:rsidRDefault="0016249E" w:rsidP="00F14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6249E" w:rsidRPr="00480832" w:rsidRDefault="0016249E" w:rsidP="00692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На товары произведенные на территории Камчатского края</w:t>
            </w:r>
          </w:p>
        </w:tc>
      </w:tr>
      <w:tr w:rsidR="0016249E" w:rsidRPr="0083644C" w:rsidTr="0016249E">
        <w:tc>
          <w:tcPr>
            <w:tcW w:w="562" w:type="dxa"/>
            <w:vAlign w:val="center"/>
          </w:tcPr>
          <w:p w:rsidR="0016249E" w:rsidRPr="00480832" w:rsidRDefault="0016249E" w:rsidP="00F14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6249E" w:rsidRPr="00480832" w:rsidRDefault="0016249E" w:rsidP="00F14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16249E" w:rsidRPr="00480832" w:rsidRDefault="0016249E" w:rsidP="00F14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72E0" w:rsidRPr="0083644C" w:rsidTr="004A06C7">
        <w:tc>
          <w:tcPr>
            <w:tcW w:w="9351" w:type="dxa"/>
            <w:gridSpan w:val="3"/>
            <w:vAlign w:val="center"/>
          </w:tcPr>
          <w:p w:rsidR="00C672E0" w:rsidRPr="00480832" w:rsidRDefault="00C672E0" w:rsidP="0090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На территории Петропавловска-Камчатского городского округа</w:t>
            </w:r>
          </w:p>
        </w:tc>
      </w:tr>
      <w:tr w:rsidR="0016249E" w:rsidRPr="0083644C" w:rsidTr="0016249E">
        <w:tc>
          <w:tcPr>
            <w:tcW w:w="562" w:type="dxa"/>
            <w:vAlign w:val="center"/>
          </w:tcPr>
          <w:p w:rsidR="0016249E" w:rsidRPr="00480832" w:rsidRDefault="0016249E" w:rsidP="0048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6249E" w:rsidRPr="00480832" w:rsidRDefault="0016249E" w:rsidP="00162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Яйца куриные</w:t>
            </w:r>
          </w:p>
        </w:tc>
        <w:tc>
          <w:tcPr>
            <w:tcW w:w="5670" w:type="dxa"/>
            <w:vAlign w:val="center"/>
          </w:tcPr>
          <w:p w:rsidR="0016249E" w:rsidRPr="00480832" w:rsidRDefault="0016249E" w:rsidP="0090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16249E" w:rsidRPr="0083644C" w:rsidTr="0016249E">
        <w:tc>
          <w:tcPr>
            <w:tcW w:w="562" w:type="dxa"/>
            <w:vAlign w:val="center"/>
          </w:tcPr>
          <w:p w:rsidR="0016249E" w:rsidRPr="00480832" w:rsidRDefault="0016249E" w:rsidP="0048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16249E" w:rsidRPr="00480832" w:rsidRDefault="0016249E" w:rsidP="00162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Огурцы свежие</w:t>
            </w:r>
          </w:p>
        </w:tc>
        <w:tc>
          <w:tcPr>
            <w:tcW w:w="5670" w:type="dxa"/>
            <w:vAlign w:val="center"/>
          </w:tcPr>
          <w:p w:rsidR="0016249E" w:rsidRPr="00480832" w:rsidRDefault="0016249E" w:rsidP="0090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16249E" w:rsidRPr="0083644C" w:rsidTr="0016249E">
        <w:tc>
          <w:tcPr>
            <w:tcW w:w="562" w:type="dxa"/>
            <w:vAlign w:val="center"/>
          </w:tcPr>
          <w:p w:rsidR="0016249E" w:rsidRPr="00480832" w:rsidRDefault="0016249E" w:rsidP="0048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16249E" w:rsidRPr="00480832" w:rsidRDefault="0016249E" w:rsidP="005220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5670" w:type="dxa"/>
            <w:vAlign w:val="center"/>
          </w:tcPr>
          <w:p w:rsidR="0016249E" w:rsidRPr="00480832" w:rsidRDefault="0016249E" w:rsidP="0090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480832" w:rsidRPr="0083644C" w:rsidTr="009D5385">
        <w:tc>
          <w:tcPr>
            <w:tcW w:w="9351" w:type="dxa"/>
            <w:gridSpan w:val="3"/>
            <w:vAlign w:val="center"/>
          </w:tcPr>
          <w:p w:rsidR="00480832" w:rsidRPr="00480832" w:rsidRDefault="00480832" w:rsidP="00900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На территории Елизовского муниципального района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Яйца куриные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Огурцы свежие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480832" w:rsidRPr="0083644C" w:rsidTr="00C9167A">
        <w:tc>
          <w:tcPr>
            <w:tcW w:w="9351" w:type="dxa"/>
            <w:gridSpan w:val="3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На территории Вилючинского городского округа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Яйца куриные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Огурцы свежие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480832" w:rsidRPr="0083644C" w:rsidTr="0016249E">
        <w:tc>
          <w:tcPr>
            <w:tcW w:w="562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480832" w:rsidRPr="00480832" w:rsidRDefault="00480832" w:rsidP="0048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5670" w:type="dxa"/>
            <w:vAlign w:val="center"/>
          </w:tcPr>
          <w:p w:rsidR="00480832" w:rsidRPr="00480832" w:rsidRDefault="00480832" w:rsidP="00480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32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</w:tbl>
    <w:p w:rsidR="00FE57F7" w:rsidRPr="0083644C" w:rsidRDefault="00FE57F7" w:rsidP="00FE57F7">
      <w:pPr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83644C">
        <w:rPr>
          <w:rFonts w:ascii="Times New Roman" w:hAnsi="Times New Roman"/>
          <w:color w:val="22272F"/>
          <w:sz w:val="24"/>
          <w:szCs w:val="24"/>
        </w:rPr>
        <w:t xml:space="preserve">Примечание: </w:t>
      </w:r>
    </w:p>
    <w:p w:rsidR="0016249E" w:rsidRPr="00EE128A" w:rsidRDefault="00EE128A" w:rsidP="00EE128A">
      <w:pPr>
        <w:pStyle w:val="a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E128A">
        <w:rPr>
          <w:rFonts w:ascii="Times New Roman" w:hAnsi="Times New Roman"/>
          <w:color w:val="auto"/>
          <w:sz w:val="24"/>
          <w:szCs w:val="24"/>
        </w:rPr>
        <w:t>Предельные торговые надбавки применяются в</w:t>
      </w:r>
      <w:r w:rsidR="00A74321" w:rsidRPr="00EE128A">
        <w:rPr>
          <w:rFonts w:ascii="Times New Roman" w:hAnsi="Times New Roman"/>
          <w:color w:val="auto"/>
          <w:sz w:val="24"/>
          <w:szCs w:val="24"/>
        </w:rPr>
        <w:t>н</w:t>
      </w:r>
      <w:r w:rsidR="0052207D" w:rsidRPr="00EE128A">
        <w:rPr>
          <w:rFonts w:ascii="Times New Roman" w:hAnsi="Times New Roman"/>
          <w:color w:val="auto"/>
          <w:sz w:val="24"/>
          <w:szCs w:val="24"/>
        </w:rPr>
        <w:t>е</w:t>
      </w:r>
      <w:r w:rsidR="00A74321" w:rsidRPr="00EE128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2207D" w:rsidRPr="00EE128A">
        <w:rPr>
          <w:rFonts w:ascii="Times New Roman" w:hAnsi="Times New Roman"/>
          <w:color w:val="auto"/>
          <w:sz w:val="24"/>
          <w:szCs w:val="24"/>
        </w:rPr>
        <w:t>зависим</w:t>
      </w:r>
      <w:r w:rsidR="00A74321" w:rsidRPr="00EE128A">
        <w:rPr>
          <w:rFonts w:ascii="Times New Roman" w:hAnsi="Times New Roman"/>
          <w:color w:val="auto"/>
          <w:sz w:val="24"/>
          <w:szCs w:val="24"/>
        </w:rPr>
        <w:t>ости</w:t>
      </w:r>
      <w:r>
        <w:rPr>
          <w:rFonts w:ascii="Times New Roman" w:hAnsi="Times New Roman"/>
          <w:color w:val="auto"/>
          <w:sz w:val="24"/>
          <w:szCs w:val="24"/>
        </w:rPr>
        <w:t xml:space="preserve"> от </w:t>
      </w:r>
      <w:r w:rsidRPr="00EE128A">
        <w:rPr>
          <w:rFonts w:ascii="Times New Roman" w:hAnsi="Times New Roman"/>
          <w:color w:val="auto"/>
          <w:sz w:val="24"/>
          <w:szCs w:val="24"/>
        </w:rPr>
        <w:t>приобретен</w:t>
      </w:r>
      <w:r>
        <w:rPr>
          <w:rFonts w:ascii="Times New Roman" w:hAnsi="Times New Roman"/>
          <w:color w:val="auto"/>
          <w:sz w:val="24"/>
          <w:szCs w:val="24"/>
        </w:rPr>
        <w:t>ия</w:t>
      </w:r>
      <w:r w:rsidRPr="00EE128A">
        <w:rPr>
          <w:rFonts w:ascii="Times New Roman" w:hAnsi="Times New Roman"/>
          <w:color w:val="auto"/>
          <w:sz w:val="24"/>
          <w:szCs w:val="24"/>
        </w:rPr>
        <w:t xml:space="preserve"> в упаковке</w:t>
      </w:r>
      <w:r>
        <w:rPr>
          <w:rFonts w:ascii="Times New Roman" w:hAnsi="Times New Roman"/>
          <w:color w:val="auto"/>
          <w:sz w:val="24"/>
          <w:szCs w:val="24"/>
        </w:rPr>
        <w:t xml:space="preserve"> (таре) или без нее и </w:t>
      </w:r>
      <w:r w:rsidRPr="00EE128A">
        <w:rPr>
          <w:rFonts w:ascii="Times New Roman" w:hAnsi="Times New Roman"/>
          <w:color w:val="auto"/>
          <w:sz w:val="24"/>
          <w:szCs w:val="24"/>
        </w:rPr>
        <w:t>фасов</w:t>
      </w:r>
      <w:r>
        <w:rPr>
          <w:rFonts w:ascii="Times New Roman" w:hAnsi="Times New Roman"/>
          <w:color w:val="auto"/>
          <w:sz w:val="24"/>
          <w:szCs w:val="24"/>
        </w:rPr>
        <w:t>ки</w:t>
      </w:r>
      <w:r w:rsidRPr="00EE128A">
        <w:rPr>
          <w:rFonts w:ascii="Times New Roman" w:hAnsi="Times New Roman"/>
          <w:color w:val="auto"/>
          <w:sz w:val="24"/>
          <w:szCs w:val="24"/>
        </w:rPr>
        <w:t xml:space="preserve"> после приобретения в любую другую упаковку</w:t>
      </w:r>
      <w:r>
        <w:rPr>
          <w:rFonts w:ascii="Times New Roman" w:hAnsi="Times New Roman"/>
          <w:color w:val="auto"/>
          <w:sz w:val="24"/>
          <w:szCs w:val="24"/>
        </w:rPr>
        <w:t xml:space="preserve"> (тару), предназначенную для розничной реализации продукции или товара.</w:t>
      </w:r>
    </w:p>
    <w:p w:rsidR="00BF6232" w:rsidRPr="0083644C" w:rsidRDefault="00D43B4E" w:rsidP="00EE128A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2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 xml:space="preserve">. В отношении 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>«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>огурцов свежих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>»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 xml:space="preserve"> и 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>«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>помидор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>ов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 xml:space="preserve"> свежих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>»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810603" w:rsidRPr="0083644C">
        <w:rPr>
          <w:rFonts w:ascii="Times New Roman" w:hAnsi="Times New Roman"/>
          <w:color w:val="22272F"/>
          <w:sz w:val="24"/>
          <w:szCs w:val="24"/>
        </w:rPr>
        <w:t>при фасовке их в единую упаковку (тару)</w:t>
      </w:r>
      <w:r w:rsidR="00A67B3C" w:rsidRPr="0083644C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656ECA" w:rsidRPr="0083644C">
        <w:rPr>
          <w:rFonts w:ascii="Times New Roman" w:hAnsi="Times New Roman"/>
          <w:color w:val="22272F"/>
          <w:sz w:val="24"/>
          <w:szCs w:val="24"/>
        </w:rPr>
        <w:t xml:space="preserve">при формировании розничной цены реализации применяется предельная торговая надбавка в размере 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>32 %</w:t>
      </w:r>
      <w:r w:rsidR="00EE128A">
        <w:rPr>
          <w:rFonts w:ascii="Times New Roman" w:hAnsi="Times New Roman"/>
          <w:color w:val="22272F"/>
          <w:sz w:val="24"/>
          <w:szCs w:val="24"/>
        </w:rPr>
        <w:t>.</w:t>
      </w:r>
    </w:p>
    <w:p w:rsidR="00C672E0" w:rsidRPr="0083644C" w:rsidRDefault="00D43B4E" w:rsidP="00EE128A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3</w:t>
      </w:r>
      <w:r w:rsidR="00BF6232" w:rsidRPr="0083644C">
        <w:rPr>
          <w:rFonts w:ascii="Times New Roman" w:hAnsi="Times New Roman"/>
          <w:color w:val="22272F"/>
          <w:sz w:val="24"/>
          <w:szCs w:val="24"/>
        </w:rPr>
        <w:t xml:space="preserve">. </w:t>
      </w:r>
      <w:r w:rsidR="006C3B78" w:rsidRPr="0083644C">
        <w:rPr>
          <w:rFonts w:ascii="Times New Roman" w:hAnsi="Times New Roman"/>
          <w:color w:val="22272F"/>
          <w:sz w:val="24"/>
          <w:szCs w:val="24"/>
        </w:rPr>
        <w:t xml:space="preserve">В </w:t>
      </w:r>
      <w:r w:rsidR="006E03D5" w:rsidRPr="0083644C">
        <w:rPr>
          <w:rFonts w:ascii="Times New Roman" w:hAnsi="Times New Roman"/>
          <w:color w:val="22272F"/>
          <w:sz w:val="24"/>
          <w:szCs w:val="24"/>
        </w:rPr>
        <w:t>настоящем перечне наименовани</w:t>
      </w:r>
      <w:r w:rsidR="00AB369E" w:rsidRPr="0083644C">
        <w:rPr>
          <w:rFonts w:ascii="Times New Roman" w:hAnsi="Times New Roman"/>
          <w:color w:val="22272F"/>
          <w:sz w:val="24"/>
          <w:szCs w:val="24"/>
        </w:rPr>
        <w:t>е товара «</w:t>
      </w:r>
      <w:r w:rsidR="006C3B78" w:rsidRPr="0083644C">
        <w:rPr>
          <w:rFonts w:ascii="Times New Roman" w:hAnsi="Times New Roman"/>
          <w:color w:val="22272F"/>
          <w:sz w:val="24"/>
          <w:szCs w:val="24"/>
        </w:rPr>
        <w:t>помидор</w:t>
      </w:r>
      <w:r w:rsidR="006E03D5" w:rsidRPr="0083644C">
        <w:rPr>
          <w:rFonts w:ascii="Times New Roman" w:hAnsi="Times New Roman"/>
          <w:color w:val="22272F"/>
          <w:sz w:val="24"/>
          <w:szCs w:val="24"/>
        </w:rPr>
        <w:t>ы</w:t>
      </w:r>
      <w:r w:rsidR="006C3B78" w:rsidRPr="0083644C">
        <w:rPr>
          <w:rFonts w:ascii="Times New Roman" w:hAnsi="Times New Roman"/>
          <w:color w:val="22272F"/>
          <w:sz w:val="24"/>
          <w:szCs w:val="24"/>
        </w:rPr>
        <w:t xml:space="preserve"> свежи</w:t>
      </w:r>
      <w:r w:rsidR="006E03D5" w:rsidRPr="0083644C">
        <w:rPr>
          <w:rFonts w:ascii="Times New Roman" w:hAnsi="Times New Roman"/>
          <w:color w:val="22272F"/>
          <w:sz w:val="24"/>
          <w:szCs w:val="24"/>
        </w:rPr>
        <w:t>е</w:t>
      </w:r>
      <w:r w:rsidR="00AB369E" w:rsidRPr="0083644C">
        <w:rPr>
          <w:rFonts w:ascii="Times New Roman" w:hAnsi="Times New Roman"/>
          <w:color w:val="22272F"/>
          <w:sz w:val="24"/>
          <w:szCs w:val="24"/>
        </w:rPr>
        <w:t>»</w:t>
      </w:r>
      <w:r w:rsidR="006E03D5" w:rsidRPr="0083644C">
        <w:rPr>
          <w:rFonts w:ascii="Times New Roman" w:hAnsi="Times New Roman"/>
          <w:color w:val="22272F"/>
          <w:sz w:val="24"/>
          <w:szCs w:val="24"/>
        </w:rPr>
        <w:t xml:space="preserve"> является тождественным наименованию </w:t>
      </w:r>
      <w:r w:rsidR="00AB369E" w:rsidRPr="0083644C">
        <w:rPr>
          <w:rFonts w:ascii="Times New Roman" w:hAnsi="Times New Roman"/>
          <w:color w:val="auto"/>
          <w:sz w:val="24"/>
          <w:szCs w:val="24"/>
        </w:rPr>
        <w:t>«</w:t>
      </w:r>
      <w:r w:rsidR="006E03D5" w:rsidRPr="0083644C">
        <w:rPr>
          <w:rFonts w:ascii="Times New Roman" w:hAnsi="Times New Roman"/>
          <w:color w:val="auto"/>
          <w:sz w:val="24"/>
          <w:szCs w:val="24"/>
        </w:rPr>
        <w:t>томаты</w:t>
      </w:r>
      <w:r w:rsidR="00AB369E" w:rsidRPr="0083644C">
        <w:rPr>
          <w:rFonts w:ascii="Times New Roman" w:hAnsi="Times New Roman"/>
          <w:color w:val="22272F"/>
          <w:sz w:val="24"/>
          <w:szCs w:val="24"/>
        </w:rPr>
        <w:t>»</w:t>
      </w:r>
      <w:r w:rsidR="00C672E0" w:rsidRPr="0083644C">
        <w:rPr>
          <w:rFonts w:ascii="Times New Roman" w:hAnsi="Times New Roman"/>
          <w:color w:val="22272F"/>
          <w:sz w:val="24"/>
          <w:szCs w:val="24"/>
        </w:rPr>
        <w:t>.</w:t>
      </w:r>
    </w:p>
    <w:p w:rsidR="00C84CBA" w:rsidRDefault="00D43B4E" w:rsidP="00EE128A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4</w:t>
      </w:r>
      <w:r w:rsidR="00C672E0" w:rsidRPr="0083644C">
        <w:rPr>
          <w:rFonts w:ascii="Times New Roman" w:hAnsi="Times New Roman"/>
          <w:color w:val="22272F"/>
          <w:sz w:val="24"/>
          <w:szCs w:val="24"/>
        </w:rPr>
        <w:t>.</w:t>
      </w:r>
      <w:r w:rsidR="00241632" w:rsidRPr="0083644C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C672E0" w:rsidRPr="0083644C">
        <w:rPr>
          <w:rFonts w:ascii="Times New Roman" w:hAnsi="Times New Roman"/>
          <w:color w:val="22272F"/>
          <w:sz w:val="24"/>
          <w:szCs w:val="24"/>
        </w:rPr>
        <w:t xml:space="preserve">Предельные торговые надбавки </w:t>
      </w:r>
      <w:r w:rsidR="00FA565C" w:rsidRPr="0083644C">
        <w:rPr>
          <w:rFonts w:ascii="Times New Roman" w:hAnsi="Times New Roman"/>
          <w:color w:val="22272F"/>
          <w:sz w:val="24"/>
          <w:szCs w:val="24"/>
        </w:rPr>
        <w:t>не распространяются на продукцию, подвергнутую промышленной переработке (включая консервирование, сушку, термическую обработку, изготовление соусов, паст, соков и иные виды переработки).</w:t>
      </w:r>
    </w:p>
    <w:p w:rsidR="00930307" w:rsidRPr="0083644C" w:rsidRDefault="00930307" w:rsidP="00EE128A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5. Предельные размеры торговых надбавок не учитывают налог на добавленную стоимость.</w:t>
      </w:r>
      <w:bookmarkStart w:id="2" w:name="_GoBack"/>
      <w:bookmarkEnd w:id="2"/>
    </w:p>
    <w:p w:rsidR="00C84CBA" w:rsidRPr="0083644C" w:rsidRDefault="00930307" w:rsidP="00EE128A">
      <w:pPr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6</w:t>
      </w:r>
      <w:r w:rsidR="001D1373" w:rsidRPr="0083644C">
        <w:rPr>
          <w:rFonts w:ascii="Times New Roman" w:hAnsi="Times New Roman"/>
          <w:color w:val="22272F"/>
          <w:sz w:val="24"/>
          <w:szCs w:val="24"/>
        </w:rPr>
        <w:t xml:space="preserve">. </w:t>
      </w:r>
      <w:r w:rsidR="0082554A" w:rsidRPr="0082554A">
        <w:rPr>
          <w:rFonts w:ascii="Times New Roman" w:hAnsi="Times New Roman"/>
          <w:color w:val="22272F"/>
          <w:sz w:val="24"/>
          <w:szCs w:val="24"/>
        </w:rPr>
        <w:t>Предельные размеры торговых надбавок</w:t>
      </w:r>
      <w:r w:rsidR="0082554A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82554A" w:rsidRPr="0082554A">
        <w:rPr>
          <w:rFonts w:ascii="Times New Roman" w:hAnsi="Times New Roman"/>
          <w:color w:val="22272F"/>
          <w:sz w:val="24"/>
          <w:szCs w:val="24"/>
        </w:rPr>
        <w:t>являются максимальными при формировании розничных цен</w:t>
      </w:r>
      <w:r w:rsidR="0082554A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82554A" w:rsidRPr="0082554A">
        <w:rPr>
          <w:rFonts w:ascii="Times New Roman" w:hAnsi="Times New Roman"/>
          <w:color w:val="22272F"/>
          <w:sz w:val="24"/>
          <w:szCs w:val="24"/>
        </w:rPr>
        <w:t>реализации продукции и товаров на территории Камчатского края, на котор</w:t>
      </w:r>
      <w:r w:rsidR="00EE128A">
        <w:rPr>
          <w:rFonts w:ascii="Times New Roman" w:hAnsi="Times New Roman"/>
          <w:color w:val="22272F"/>
          <w:sz w:val="24"/>
          <w:szCs w:val="24"/>
        </w:rPr>
        <w:t>ой</w:t>
      </w:r>
      <w:r w:rsidR="0082554A"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82554A" w:rsidRPr="0082554A">
        <w:rPr>
          <w:rFonts w:ascii="Times New Roman" w:hAnsi="Times New Roman"/>
          <w:color w:val="22272F"/>
          <w:sz w:val="24"/>
          <w:szCs w:val="24"/>
        </w:rPr>
        <w:t>они установлены</w:t>
      </w:r>
      <w:r w:rsidR="001D1373" w:rsidRPr="0083644C">
        <w:rPr>
          <w:rFonts w:ascii="Times New Roman" w:hAnsi="Times New Roman"/>
          <w:color w:val="22272F"/>
          <w:sz w:val="24"/>
          <w:szCs w:val="24"/>
        </w:rPr>
        <w:t xml:space="preserve">. Конкретные размеры торговых надбавок устанавливаются </w:t>
      </w:r>
      <w:r>
        <w:rPr>
          <w:rFonts w:ascii="Times New Roman" w:hAnsi="Times New Roman"/>
          <w:color w:val="22272F"/>
          <w:sz w:val="24"/>
          <w:szCs w:val="24"/>
        </w:rPr>
        <w:t>юридическими лицами и индивидуальными предпринимателями</w:t>
      </w:r>
      <w:r w:rsidR="001D1373" w:rsidRPr="0083644C">
        <w:rPr>
          <w:rFonts w:ascii="Times New Roman" w:hAnsi="Times New Roman"/>
          <w:color w:val="22272F"/>
          <w:sz w:val="24"/>
          <w:szCs w:val="24"/>
        </w:rPr>
        <w:t xml:space="preserve"> самостоятельно, но не выше предельных размеров торговых надбавок.</w:t>
      </w:r>
    </w:p>
    <w:p w:rsidR="00385D0A" w:rsidRPr="00692A6E" w:rsidRDefault="00930307" w:rsidP="00EE128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72F"/>
          <w:sz w:val="24"/>
          <w:szCs w:val="24"/>
        </w:rPr>
        <w:t>7</w:t>
      </w:r>
      <w:r w:rsidR="001D1373" w:rsidRPr="0083644C">
        <w:rPr>
          <w:rFonts w:ascii="Times New Roman" w:hAnsi="Times New Roman"/>
          <w:color w:val="22272F"/>
          <w:sz w:val="24"/>
          <w:szCs w:val="24"/>
        </w:rPr>
        <w:t>. Округление розничных цен производится до целой копейки, при этом до 0,5 копеек отбрасывается, 0,5 копеек и выше округляется до целой копейки.</w:t>
      </w:r>
    </w:p>
    <w:sectPr w:rsidR="00385D0A" w:rsidRPr="00692A6E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1F8F"/>
    <w:multiLevelType w:val="hybridMultilevel"/>
    <w:tmpl w:val="172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97F"/>
    <w:multiLevelType w:val="hybridMultilevel"/>
    <w:tmpl w:val="DEA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0B376F"/>
    <w:rsid w:val="00106FA2"/>
    <w:rsid w:val="00114A6A"/>
    <w:rsid w:val="0016249E"/>
    <w:rsid w:val="001779EA"/>
    <w:rsid w:val="0018037C"/>
    <w:rsid w:val="001849D0"/>
    <w:rsid w:val="001D1373"/>
    <w:rsid w:val="001E05C6"/>
    <w:rsid w:val="00204703"/>
    <w:rsid w:val="002174D8"/>
    <w:rsid w:val="00220C66"/>
    <w:rsid w:val="00241632"/>
    <w:rsid w:val="00267A08"/>
    <w:rsid w:val="002A31D3"/>
    <w:rsid w:val="002A6FDE"/>
    <w:rsid w:val="002E0A3F"/>
    <w:rsid w:val="00385D0A"/>
    <w:rsid w:val="003E20D5"/>
    <w:rsid w:val="003F5FA1"/>
    <w:rsid w:val="004359D7"/>
    <w:rsid w:val="00457780"/>
    <w:rsid w:val="004648C6"/>
    <w:rsid w:val="00480832"/>
    <w:rsid w:val="0048094B"/>
    <w:rsid w:val="00491F56"/>
    <w:rsid w:val="0052207D"/>
    <w:rsid w:val="005321E4"/>
    <w:rsid w:val="0055312A"/>
    <w:rsid w:val="005C24B8"/>
    <w:rsid w:val="005C2E4F"/>
    <w:rsid w:val="005F20AB"/>
    <w:rsid w:val="00654E3C"/>
    <w:rsid w:val="00656ECA"/>
    <w:rsid w:val="00667998"/>
    <w:rsid w:val="00692A6E"/>
    <w:rsid w:val="006C3B78"/>
    <w:rsid w:val="006E03D5"/>
    <w:rsid w:val="00707096"/>
    <w:rsid w:val="007A0F90"/>
    <w:rsid w:val="00810603"/>
    <w:rsid w:val="00815081"/>
    <w:rsid w:val="0082554A"/>
    <w:rsid w:val="0083644C"/>
    <w:rsid w:val="008671DF"/>
    <w:rsid w:val="009005E9"/>
    <w:rsid w:val="00930307"/>
    <w:rsid w:val="00941BA7"/>
    <w:rsid w:val="009638F1"/>
    <w:rsid w:val="00966EAA"/>
    <w:rsid w:val="009D050A"/>
    <w:rsid w:val="009E1FC1"/>
    <w:rsid w:val="00A416B2"/>
    <w:rsid w:val="00A57395"/>
    <w:rsid w:val="00A67B3C"/>
    <w:rsid w:val="00A74321"/>
    <w:rsid w:val="00AA4D8F"/>
    <w:rsid w:val="00AB369E"/>
    <w:rsid w:val="00AE6038"/>
    <w:rsid w:val="00B317F0"/>
    <w:rsid w:val="00B8563D"/>
    <w:rsid w:val="00BF6232"/>
    <w:rsid w:val="00C652AE"/>
    <w:rsid w:val="00C672E0"/>
    <w:rsid w:val="00C84CBA"/>
    <w:rsid w:val="00CA71E9"/>
    <w:rsid w:val="00D30376"/>
    <w:rsid w:val="00D43B4E"/>
    <w:rsid w:val="00D54C95"/>
    <w:rsid w:val="00DB0071"/>
    <w:rsid w:val="00E40F63"/>
    <w:rsid w:val="00E91DFE"/>
    <w:rsid w:val="00E9248C"/>
    <w:rsid w:val="00ED738C"/>
    <w:rsid w:val="00EE128A"/>
    <w:rsid w:val="00EF5C69"/>
    <w:rsid w:val="00F12503"/>
    <w:rsid w:val="00F14ECA"/>
    <w:rsid w:val="00F54739"/>
    <w:rsid w:val="00F84059"/>
    <w:rsid w:val="00FA565C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7297B6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966EA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C652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">
    <w:name w:val="s_1"/>
    <w:basedOn w:val="a"/>
    <w:rsid w:val="001D137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Брагин Кирилл Валерьевич</cp:lastModifiedBy>
  <cp:revision>57</cp:revision>
  <cp:lastPrinted>2025-04-02T04:42:00Z</cp:lastPrinted>
  <dcterms:created xsi:type="dcterms:W3CDTF">2025-01-31T01:52:00Z</dcterms:created>
  <dcterms:modified xsi:type="dcterms:W3CDTF">2025-04-02T05:02:00Z</dcterms:modified>
</cp:coreProperties>
</file>