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196417" w:rsidP="003B40D8">
            <w:pPr>
              <w:ind w:left="30"/>
              <w:jc w:val="center"/>
              <w:rPr>
                <w:rFonts w:ascii="Times New Roman" w:hAnsi="Times New Roman"/>
                <w:b/>
                <w:sz w:val="28"/>
              </w:rPr>
            </w:pPr>
            <w:r w:rsidRPr="00196417">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b/>
                <w:sz w:val="28"/>
              </w:rPr>
              <w:t>Быстринского</w:t>
            </w:r>
            <w:proofErr w:type="spellEnd"/>
            <w:r w:rsidRPr="00196417">
              <w:rPr>
                <w:rFonts w:ascii="Times New Roman" w:hAnsi="Times New Roman"/>
                <w:b/>
                <w:sz w:val="28"/>
              </w:rPr>
              <w:t xml:space="preserve"> муниципального района Камчатского края, месторождение «</w:t>
            </w:r>
            <w:proofErr w:type="spellStart"/>
            <w:r w:rsidRPr="00196417">
              <w:rPr>
                <w:rFonts w:ascii="Times New Roman" w:hAnsi="Times New Roman"/>
                <w:b/>
                <w:sz w:val="28"/>
              </w:rPr>
              <w:t>Шануч</w:t>
            </w:r>
            <w:proofErr w:type="spellEnd"/>
            <w:r w:rsidRPr="00196417">
              <w:rPr>
                <w:rFonts w:ascii="Times New Roman" w:hAnsi="Times New Roman"/>
                <w:b/>
                <w:sz w:val="28"/>
              </w:rPr>
              <w:t>»</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200D89" w:rsidRPr="00B94BFA" w:rsidRDefault="00200D89" w:rsidP="00200D89">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196417" w:rsidRPr="00196417">
        <w:rPr>
          <w:szCs w:val="28"/>
        </w:rPr>
        <w:t>Быстринского</w:t>
      </w:r>
      <w:proofErr w:type="spellEnd"/>
      <w:r w:rsidR="00196417" w:rsidRPr="00196417">
        <w:rPr>
          <w:szCs w:val="28"/>
        </w:rPr>
        <w:t xml:space="preserve"> муниципального района Камчатского края, месторождение «</w:t>
      </w:r>
      <w:proofErr w:type="spellStart"/>
      <w:r w:rsidR="00196417" w:rsidRPr="00196417">
        <w:rPr>
          <w:szCs w:val="28"/>
        </w:rPr>
        <w:t>Шануч</w:t>
      </w:r>
      <w:proofErr w:type="spellEnd"/>
      <w:r w:rsidR="00196417" w:rsidRPr="00196417">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color w:val="auto"/>
          <w:sz w:val="24"/>
          <w:szCs w:val="24"/>
        </w:rPr>
        <w:t>Быстринского</w:t>
      </w:r>
      <w:proofErr w:type="spellEnd"/>
      <w:r w:rsidRPr="00196417">
        <w:rPr>
          <w:rFonts w:ascii="Times New Roman" w:hAnsi="Times New Roman"/>
          <w:color w:val="auto"/>
          <w:sz w:val="24"/>
          <w:szCs w:val="24"/>
        </w:rPr>
        <w:t xml:space="preserve"> муниципального района Камчатского края, месторождение «</w:t>
      </w:r>
      <w:proofErr w:type="spellStart"/>
      <w:r w:rsidRPr="00196417">
        <w:rPr>
          <w:rFonts w:ascii="Times New Roman" w:hAnsi="Times New Roman"/>
          <w:color w:val="auto"/>
          <w:sz w:val="24"/>
          <w:szCs w:val="24"/>
        </w:rPr>
        <w:t>Шануч</w:t>
      </w:r>
      <w:proofErr w:type="spellEnd"/>
      <w:r w:rsidRPr="00196417">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C79DE" w:rsidRPr="005821B6" w:rsidRDefault="00CC79DE" w:rsidP="00CC79DE">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hideMark/>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9,061</w:t>
            </w: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10,531</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трем зонам суток</w:t>
            </w:r>
            <w:r w:rsidR="00CC79DE" w:rsidRPr="00F7724F">
              <w:rPr>
                <w:rFonts w:ascii="Times New Roman" w:hAnsi="Times New Roman"/>
                <w:color w:val="auto"/>
                <w:sz w:val="20"/>
                <w:vertAlign w:val="superscript"/>
              </w:rPr>
              <w:t>2</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9,061</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10,531</w:t>
            </w:r>
          </w:p>
        </w:tc>
      </w:tr>
      <w:tr w:rsidR="00CC79DE" w:rsidRPr="005821B6" w:rsidTr="00CC79DE">
        <w:trPr>
          <w:cantSplit/>
          <w:trHeight w:val="22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11,326</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13,164</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двум зонам суток</w:t>
            </w:r>
            <w:r w:rsidR="00CC79DE" w:rsidRPr="00F7724F">
              <w:rPr>
                <w:rFonts w:ascii="Times New Roman" w:hAnsi="Times New Roman"/>
                <w:color w:val="auto"/>
                <w:sz w:val="20"/>
                <w:vertAlign w:val="superscript"/>
              </w:rPr>
              <w:t>2</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10,420</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CC79DE">
            <w:pPr>
              <w:autoSpaceDE w:val="0"/>
              <w:autoSpaceDN w:val="0"/>
              <w:adjustRightInd w:val="0"/>
              <w:jc w:val="center"/>
              <w:rPr>
                <w:rFonts w:ascii="Times New Roman" w:hAnsi="Times New Roman"/>
                <w:sz w:val="20"/>
              </w:rPr>
            </w:pPr>
            <w:r w:rsidRPr="00CC79DE">
              <w:rPr>
                <w:rFonts w:ascii="Times New Roman" w:hAnsi="Times New Roman"/>
                <w:sz w:val="20"/>
              </w:rPr>
              <w:t>12,111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B60590">
        <w:rPr>
          <w:rFonts w:ascii="Times New Roman" w:eastAsia="Calibri" w:hAnsi="Times New Roman"/>
          <w:sz w:val="16"/>
          <w:szCs w:val="16"/>
          <w:lang w:eastAsia="en-US"/>
        </w:rPr>
        <w:t>63 097</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bookmarkStart w:id="2" w:name="_GoBack"/>
      <w:bookmarkEnd w:id="2"/>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00D89"/>
    <w:rsid w:val="00233186"/>
    <w:rsid w:val="002504B9"/>
    <w:rsid w:val="002C45D4"/>
    <w:rsid w:val="003B40D8"/>
    <w:rsid w:val="0040332A"/>
    <w:rsid w:val="0047574F"/>
    <w:rsid w:val="004C2A7E"/>
    <w:rsid w:val="004F6958"/>
    <w:rsid w:val="005821B6"/>
    <w:rsid w:val="006B51BC"/>
    <w:rsid w:val="006D0485"/>
    <w:rsid w:val="006E12FD"/>
    <w:rsid w:val="007574F8"/>
    <w:rsid w:val="008E504F"/>
    <w:rsid w:val="00905E14"/>
    <w:rsid w:val="009353AD"/>
    <w:rsid w:val="00A519F8"/>
    <w:rsid w:val="00A52B47"/>
    <w:rsid w:val="00AC35C1"/>
    <w:rsid w:val="00AD3247"/>
    <w:rsid w:val="00AD7D7C"/>
    <w:rsid w:val="00B60590"/>
    <w:rsid w:val="00B622B6"/>
    <w:rsid w:val="00B73B68"/>
    <w:rsid w:val="00B94BFA"/>
    <w:rsid w:val="00BA429C"/>
    <w:rsid w:val="00BA4364"/>
    <w:rsid w:val="00BD51AC"/>
    <w:rsid w:val="00BD5C78"/>
    <w:rsid w:val="00C10A84"/>
    <w:rsid w:val="00C112C6"/>
    <w:rsid w:val="00C90F22"/>
    <w:rsid w:val="00CC7893"/>
    <w:rsid w:val="00CC79DE"/>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2006"/>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Меньщикова Марина Владимировна</cp:lastModifiedBy>
  <cp:revision>52</cp:revision>
  <cp:lastPrinted>2023-10-17T20:59:00Z</cp:lastPrinted>
  <dcterms:created xsi:type="dcterms:W3CDTF">2023-10-17T07:43:00Z</dcterms:created>
  <dcterms:modified xsi:type="dcterms:W3CDTF">2023-12-07T04:56:00Z</dcterms:modified>
</cp:coreProperties>
</file>