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07695" w:rsidRPr="00D07695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ООО «</w:t>
      </w:r>
      <w:r w:rsidR="007E48C2">
        <w:rPr>
          <w:rFonts w:ascii="Times New Roman" w:hAnsi="Times New Roman"/>
          <w:b/>
          <w:sz w:val="28"/>
        </w:rPr>
        <w:t>Свободный порт Камчатка</w:t>
      </w:r>
      <w:r w:rsidR="00D07695" w:rsidRPr="00D07695">
        <w:rPr>
          <w:rFonts w:ascii="Times New Roman" w:hAnsi="Times New Roman"/>
          <w:b/>
          <w:sz w:val="28"/>
        </w:rPr>
        <w:t>» на 202</w:t>
      </w:r>
      <w:r w:rsidR="00BA7F92">
        <w:rPr>
          <w:rFonts w:ascii="Times New Roman" w:hAnsi="Times New Roman"/>
          <w:b/>
          <w:sz w:val="28"/>
        </w:rPr>
        <w:t>4</w:t>
      </w:r>
      <w:r w:rsidR="00D07695" w:rsidRPr="00D07695">
        <w:rPr>
          <w:rFonts w:ascii="Times New Roman" w:hAnsi="Times New Roman"/>
          <w:b/>
          <w:sz w:val="28"/>
        </w:rPr>
        <w:t xml:space="preserve"> -202</w:t>
      </w:r>
      <w:r w:rsidR="00BA7F92">
        <w:rPr>
          <w:rFonts w:ascii="Times New Roman" w:hAnsi="Times New Roman"/>
          <w:b/>
          <w:sz w:val="28"/>
        </w:rPr>
        <w:t>8</w:t>
      </w:r>
      <w:r w:rsidR="00D07695" w:rsidRPr="00D07695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 xml:space="preserve">ам и ценам Камчатского края от 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7EFF" w:rsidRPr="008D7EFF" w:rsidRDefault="00BA7F92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1. 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Утвердить </w:t>
      </w:r>
      <w:hyperlink r:id="rId8" w:history="1">
        <w:r w:rsidR="008D7EFF" w:rsidRPr="008D7EFF">
          <w:rPr>
            <w:rFonts w:ascii="Times New Roman" w:eastAsia="Calibri" w:hAnsi="Times New Roman"/>
            <w:color w:val="auto"/>
            <w:sz w:val="28"/>
            <w:szCs w:val="28"/>
          </w:rPr>
          <w:t>долгосрочные параметры</w:t>
        </w:r>
      </w:hyperlink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регулирования для 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7E48C2" w:rsidRPr="007E48C2">
        <w:rPr>
          <w:rFonts w:ascii="Times New Roman" w:eastAsia="Calibri" w:hAnsi="Times New Roman"/>
          <w:bCs/>
          <w:color w:val="auto"/>
          <w:sz w:val="28"/>
          <w:szCs w:val="28"/>
        </w:rPr>
        <w:t>Свободный порт Камчатка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>, устанавливаемые на 202</w:t>
      </w:r>
      <w:r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>
        <w:rPr>
          <w:rFonts w:ascii="Times New Roman" w:eastAsia="Calibri" w:hAnsi="Times New Roman"/>
          <w:color w:val="auto"/>
          <w:sz w:val="28"/>
          <w:szCs w:val="28"/>
        </w:rPr>
        <w:t>8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2. Утвердить необходимую валовую выручку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7E48C2" w:rsidRPr="007E48C2">
        <w:rPr>
          <w:rFonts w:ascii="Times New Roman" w:eastAsia="Calibri" w:hAnsi="Times New Roman"/>
          <w:bCs/>
          <w:color w:val="auto"/>
          <w:sz w:val="28"/>
          <w:szCs w:val="28"/>
        </w:rPr>
        <w:t>Свободный порт Камчатка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>на долгосрочный период регулирования (без учета оплаты потерь)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согласно приложению 2.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br/>
        <w:t xml:space="preserve">ПАО «Камчатскэнерго» и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7E48C2" w:rsidRPr="007E48C2">
        <w:rPr>
          <w:rFonts w:ascii="Times New Roman" w:eastAsia="Calibri" w:hAnsi="Times New Roman"/>
          <w:bCs/>
          <w:color w:val="auto"/>
          <w:sz w:val="28"/>
          <w:szCs w:val="28"/>
        </w:rPr>
        <w:t>Свободный порт Камчатка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 с календарной разбивкой, согласно приложению 3.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>4. 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 w:rsidP="00BA7F92">
      <w:pPr>
        <w:pStyle w:val="34"/>
        <w:widowControl w:val="0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D7EFF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8D7EFF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8D7EFF" w:rsidRPr="00DD03D5" w:rsidRDefault="008D7EFF" w:rsidP="008D7EFF">
      <w:pPr>
        <w:widowControl w:val="0"/>
        <w:ind w:left="-426"/>
        <w:jc w:val="center"/>
        <w:rPr>
          <w:rFonts w:eastAsia="Calibri"/>
          <w:szCs w:val="28"/>
        </w:rPr>
      </w:pP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Долгосрочные параметры регулирования 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для 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ООО «</w:t>
      </w:r>
      <w:r w:rsidR="007E48C2" w:rsidRPr="007E48C2">
        <w:rPr>
          <w:rFonts w:ascii="Times New Roman" w:eastAsia="Calibri" w:hAnsi="Times New Roman"/>
          <w:bCs/>
          <w:sz w:val="28"/>
          <w:szCs w:val="28"/>
        </w:rPr>
        <w:t>Свободный порт Камчатка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7EFF">
        <w:rPr>
          <w:rFonts w:ascii="Times New Roman" w:eastAsia="Calibri" w:hAnsi="Times New Roman"/>
          <w:sz w:val="28"/>
          <w:szCs w:val="28"/>
        </w:rPr>
        <w:t xml:space="preserve">, устанавливаемые на </w:t>
      </w:r>
      <w:r w:rsidRPr="008D7EFF">
        <w:rPr>
          <w:rFonts w:ascii="Times New Roman" w:eastAsia="Calibri" w:hAnsi="Times New Roman"/>
          <w:bCs/>
          <w:sz w:val="28"/>
          <w:szCs w:val="28"/>
        </w:rPr>
        <w:t>202</w:t>
      </w:r>
      <w:r w:rsidR="003B493D">
        <w:rPr>
          <w:rFonts w:ascii="Times New Roman" w:eastAsia="Calibri" w:hAnsi="Times New Roman"/>
          <w:bCs/>
          <w:sz w:val="28"/>
          <w:szCs w:val="28"/>
        </w:rPr>
        <w:t>4</w:t>
      </w:r>
      <w:r w:rsidRPr="008D7EFF">
        <w:rPr>
          <w:rFonts w:ascii="Times New Roman" w:eastAsia="Calibri" w:hAnsi="Times New Roman"/>
          <w:bCs/>
          <w:sz w:val="28"/>
          <w:szCs w:val="28"/>
        </w:rPr>
        <w:t>-202</w:t>
      </w:r>
      <w:r w:rsidR="003B493D">
        <w:rPr>
          <w:rFonts w:ascii="Times New Roman" w:eastAsia="Calibri" w:hAnsi="Times New Roman"/>
          <w:bCs/>
          <w:sz w:val="28"/>
          <w:szCs w:val="28"/>
        </w:rPr>
        <w:t>8</w:t>
      </w:r>
      <w:r w:rsidRPr="008D7EFF">
        <w:rPr>
          <w:rFonts w:ascii="Times New Roman" w:eastAsia="Calibri" w:hAnsi="Times New Roman"/>
          <w:bCs/>
          <w:sz w:val="28"/>
          <w:szCs w:val="28"/>
        </w:rPr>
        <w:t xml:space="preserve"> годы</w:t>
      </w:r>
      <w:r w:rsidRPr="008D7EFF">
        <w:rPr>
          <w:rFonts w:ascii="Times New Roman" w:eastAsia="Calibri" w:hAnsi="Times New Roman"/>
          <w:sz w:val="28"/>
          <w:szCs w:val="28"/>
        </w:rPr>
        <w:t>,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14"/>
        <w:gridCol w:w="1134"/>
        <w:gridCol w:w="1573"/>
        <w:gridCol w:w="1682"/>
        <w:gridCol w:w="1706"/>
        <w:gridCol w:w="1799"/>
        <w:gridCol w:w="1745"/>
        <w:gridCol w:w="1843"/>
        <w:gridCol w:w="1598"/>
      </w:tblGrid>
      <w:tr w:rsidR="008D7EFF" w:rsidRPr="000E4B66" w:rsidTr="008D7EFF">
        <w:trPr>
          <w:trHeight w:val="1902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Базовый уровень подконтрольных расходов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Индекс эффективности подконтрольных расходов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уровня качества оказываемых услуг</w:t>
            </w:r>
          </w:p>
        </w:tc>
      </w:tr>
      <w:tr w:rsidR="008D7EFF" w:rsidRPr="000E4B66" w:rsidTr="008D7EFF">
        <w:trPr>
          <w:trHeight w:val="24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7EFF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7EFF" w:rsidRPr="000E4B66" w:rsidTr="008D7EFF">
        <w:trPr>
          <w:trHeight w:val="355"/>
        </w:trPr>
        <w:tc>
          <w:tcPr>
            <w:tcW w:w="50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D7EFF" w:rsidRPr="005B7850" w:rsidTr="008D7EFF">
        <w:trPr>
          <w:trHeight w:val="321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bCs/>
                <w:sz w:val="20"/>
              </w:rPr>
              <w:t>ООО «</w:t>
            </w:r>
            <w:r w:rsidR="007E48C2" w:rsidRPr="007E48C2">
              <w:rPr>
                <w:rFonts w:ascii="Times New Roman" w:eastAsia="Calibri" w:hAnsi="Times New Roman"/>
                <w:bCs/>
                <w:sz w:val="20"/>
              </w:rPr>
              <w:t>Свободный порт Камчатка</w:t>
            </w:r>
            <w:r w:rsidRPr="008D7EFF">
              <w:rPr>
                <w:rFonts w:ascii="Times New Roman" w:hAnsi="Times New Roman"/>
                <w:bCs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4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61808" w:rsidP="007E48C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</w:t>
            </w:r>
            <w:r w:rsidR="007E48C2">
              <w:rPr>
                <w:rFonts w:ascii="Times New Roman" w:hAnsi="Times New Roman"/>
                <w:sz w:val="20"/>
                <w:highlight w:val="yellow"/>
              </w:rPr>
              <w:t>662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99" w:type="dxa"/>
            <w:vAlign w:val="center"/>
          </w:tcPr>
          <w:p w:rsidR="008D7EFF" w:rsidRPr="00BA7F92" w:rsidRDefault="007E48C2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3,26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5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39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6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8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7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72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8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</w:tbl>
    <w:p w:rsidR="008D7EFF" w:rsidRDefault="008D7EF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  <w:sectPr w:rsidR="008D7EFF" w:rsidSect="008D7EFF">
          <w:headerReference w:type="default" r:id="rId10"/>
          <w:pgSz w:w="16838" w:h="11906" w:orient="landscape"/>
          <w:pgMar w:top="1134" w:right="709" w:bottom="425" w:left="85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</w:t>
      </w:r>
      <w:r w:rsidR="003B493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B493D">
        <w:rPr>
          <w:rFonts w:ascii="Times New Roman" w:hAnsi="Times New Roman"/>
          <w:sz w:val="28"/>
        </w:rPr>
        <w:t>ХХ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Необходимая валовая выручка ООО «</w:t>
      </w:r>
      <w:r w:rsidR="007E48C2" w:rsidRPr="007E48C2">
        <w:rPr>
          <w:rFonts w:ascii="Times New Roman" w:hAnsi="Times New Roman"/>
          <w:sz w:val="28"/>
        </w:rPr>
        <w:t>Свободный порт Камчатка</w:t>
      </w:r>
      <w:r>
        <w:rPr>
          <w:rFonts w:ascii="Times New Roman" w:hAnsi="Times New Roman"/>
          <w:sz w:val="28"/>
        </w:rPr>
        <w:t>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НВВ ООО «</w:t>
            </w:r>
            <w:r w:rsidR="007E48C2" w:rsidRPr="007E48C2">
              <w:rPr>
                <w:rFonts w:ascii="Times New Roman" w:hAnsi="Times New Roman"/>
                <w:sz w:val="24"/>
              </w:rPr>
              <w:t>Свободный порт Камчатка</w:t>
            </w:r>
            <w:r>
              <w:rPr>
                <w:rFonts w:ascii="Times New Roman" w:hAnsi="Times New Roman"/>
                <w:sz w:val="24"/>
              </w:rPr>
              <w:t>» без учета оплаты потерь</w:t>
            </w:r>
          </w:p>
        </w:tc>
      </w:tr>
      <w:tr w:rsidR="00A7796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="007E48C2" w:rsidRPr="007E48C2">
              <w:rPr>
                <w:rFonts w:ascii="Times New Roman" w:hAnsi="Times New Roman"/>
                <w:sz w:val="24"/>
              </w:rPr>
              <w:t>Свободный порт Камчатка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7E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842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7E48C2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868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6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7E48C2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896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 xml:space="preserve">7 </w:t>
            </w:r>
            <w:r w:rsidRPr="00840F3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7E48C2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925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8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7E48C2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954</w:t>
            </w:r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8D7EFF" w:rsidRDefault="008D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B493D">
        <w:rPr>
          <w:rFonts w:ascii="Times New Roman" w:hAnsi="Times New Roman"/>
          <w:sz w:val="28"/>
        </w:rPr>
        <w:t>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ПАО «Камчатскэнерго» и ООО «</w:t>
      </w:r>
      <w:r w:rsidR="007E48C2" w:rsidRPr="007E48C2">
        <w:rPr>
          <w:rFonts w:ascii="Times New Roman" w:hAnsi="Times New Roman"/>
          <w:sz w:val="28"/>
        </w:rPr>
        <w:t>Свободный порт Камчатка</w:t>
      </w:r>
      <w:r>
        <w:rPr>
          <w:rFonts w:ascii="Times New Roman" w:hAnsi="Times New Roman"/>
          <w:sz w:val="28"/>
        </w:rPr>
        <w:t xml:space="preserve">»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2 полугодие </w:t>
            </w: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</w:t>
            </w:r>
            <w:proofErr w:type="spellEnd"/>
            <w:r w:rsidRPr="00D07695">
              <w:rPr>
                <w:rFonts w:ascii="Times New Roman" w:hAnsi="Times New Roman"/>
              </w:rPr>
              <w:t xml:space="preserve">-   </w:t>
            </w:r>
            <w:r w:rsidRPr="00D07695">
              <w:rPr>
                <w:rFonts w:ascii="Times New Roman" w:hAnsi="Times New Roman"/>
              </w:rPr>
              <w:br/>
            </w:r>
            <w:proofErr w:type="spellStart"/>
            <w:r w:rsidRPr="00D07695">
              <w:rPr>
                <w:rFonts w:ascii="Times New Roman" w:hAnsi="Times New Roman"/>
              </w:rPr>
              <w:t>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</w:tr>
      <w:tr w:rsidR="00D07695" w:rsidRPr="00D07695" w:rsidTr="0096479B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</w:tr>
      <w:tr w:rsidR="00D07695" w:rsidRPr="00D07695" w:rsidTr="0096479B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10688C" w:rsidRPr="00D07695" w:rsidTr="0010688C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ООО «</w:t>
            </w:r>
            <w:r w:rsidR="007E48C2" w:rsidRPr="007E48C2">
              <w:rPr>
                <w:rFonts w:ascii="Times New Roman" w:hAnsi="Times New Roman"/>
                <w:bCs/>
              </w:rPr>
              <w:t>Свободный порт Камчатка</w:t>
            </w:r>
            <w:r w:rsidRPr="00D0769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4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2F1B83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25 294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7E48C2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10688C" w:rsidP="007E48C2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95EC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7E48C2">
              <w:rPr>
                <w:rFonts w:ascii="Times New Roman" w:hAnsi="Times New Roman"/>
                <w:szCs w:val="22"/>
                <w:highlight w:val="yellow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2F1B83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284 723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7E48C2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10688C" w:rsidP="007E48C2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C95EC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7E48C2">
              <w:rPr>
                <w:rFonts w:ascii="Times New Roman" w:hAnsi="Times New Roman"/>
                <w:szCs w:val="22"/>
                <w:highlight w:val="yellow"/>
              </w:rPr>
              <w:t>922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5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F1B83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284 723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7E48C2" w:rsidP="000E0A52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7E48C2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7E48C2">
              <w:rPr>
                <w:rFonts w:ascii="Times New Roman" w:hAnsi="Times New Roman"/>
                <w:szCs w:val="22"/>
                <w:highlight w:val="yellow"/>
              </w:rPr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F1B83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136 886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7E48C2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2F1B83">
              <w:rPr>
                <w:rFonts w:ascii="Times New Roman" w:hAnsi="Times New Roman"/>
                <w:szCs w:val="22"/>
                <w:highlight w:val="yellow"/>
              </w:rPr>
              <w:t>558</w:t>
            </w:r>
          </w:p>
        </w:tc>
      </w:tr>
      <w:tr w:rsidR="00207A25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A25" w:rsidRPr="00D07695" w:rsidRDefault="00207A25" w:rsidP="00207A2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5" w:rsidRPr="00D07695" w:rsidRDefault="00207A25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 xml:space="preserve">6 </w:t>
            </w: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F1B83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136 886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7E48C2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2F1B83">
              <w:rPr>
                <w:rFonts w:ascii="Times New Roman" w:hAnsi="Times New Roman"/>
                <w:szCs w:val="22"/>
                <w:highlight w:val="yellow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F1B83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141 242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7E48C2" w:rsidP="00207A25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5" w:rsidRPr="00207A25" w:rsidRDefault="00207A25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 w:rsidR="002F1B83">
              <w:rPr>
                <w:rFonts w:ascii="Times New Roman" w:hAnsi="Times New Roman"/>
                <w:szCs w:val="22"/>
                <w:highlight w:val="yellow"/>
              </w:rPr>
              <w:t>578</w:t>
            </w:r>
          </w:p>
        </w:tc>
      </w:tr>
      <w:tr w:rsidR="002F1B83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3" w:rsidRPr="00D07695" w:rsidRDefault="002F1B83" w:rsidP="002F1B8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3" w:rsidRPr="00D07695" w:rsidRDefault="002F1B83" w:rsidP="002F1B83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141 242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>
              <w:rPr>
                <w:rFonts w:ascii="Times New Roman" w:hAnsi="Times New Roman"/>
                <w:szCs w:val="22"/>
                <w:highlight w:val="yellow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145 740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>
              <w:rPr>
                <w:rFonts w:ascii="Times New Roman" w:hAnsi="Times New Roman"/>
                <w:szCs w:val="22"/>
                <w:highlight w:val="yellow"/>
              </w:rPr>
              <w:t>599</w:t>
            </w:r>
          </w:p>
        </w:tc>
      </w:tr>
      <w:tr w:rsidR="002F1B83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3" w:rsidRPr="00D07695" w:rsidRDefault="002F1B83" w:rsidP="002F1B8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3" w:rsidRPr="00D07695" w:rsidRDefault="002F1B83" w:rsidP="002F1B83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145 740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>
              <w:rPr>
                <w:rFonts w:ascii="Times New Roman" w:hAnsi="Times New Roman"/>
                <w:szCs w:val="22"/>
                <w:highlight w:val="yellow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150 383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3" w:rsidRPr="00207A25" w:rsidRDefault="002F1B83" w:rsidP="002F1B8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207A25">
              <w:rPr>
                <w:rFonts w:ascii="Times New Roman" w:hAnsi="Times New Roman"/>
                <w:szCs w:val="22"/>
                <w:highlight w:val="yellow"/>
              </w:rPr>
              <w:t>0,</w:t>
            </w:r>
            <w:r>
              <w:rPr>
                <w:rFonts w:ascii="Times New Roman" w:hAnsi="Times New Roman"/>
                <w:szCs w:val="22"/>
                <w:highlight w:val="yellow"/>
              </w:rPr>
              <w:t>621</w:t>
            </w:r>
          </w:p>
        </w:tc>
      </w:tr>
    </w:tbl>
    <w:p w:rsidR="00A77966" w:rsidRDefault="00F86E5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  <w:bookmarkStart w:id="1" w:name="_GoBack"/>
      <w:bookmarkEnd w:id="1"/>
    </w:p>
    <w:sectPr w:rsidR="00A77966"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0A52"/>
    <w:rsid w:val="0010688C"/>
    <w:rsid w:val="001D6FF0"/>
    <w:rsid w:val="00207A25"/>
    <w:rsid w:val="002F1B83"/>
    <w:rsid w:val="003B493D"/>
    <w:rsid w:val="00532652"/>
    <w:rsid w:val="00542663"/>
    <w:rsid w:val="00771F66"/>
    <w:rsid w:val="007E48C2"/>
    <w:rsid w:val="008248A9"/>
    <w:rsid w:val="00840F37"/>
    <w:rsid w:val="00861808"/>
    <w:rsid w:val="008D7EFF"/>
    <w:rsid w:val="008F77BF"/>
    <w:rsid w:val="00A77966"/>
    <w:rsid w:val="00B231DA"/>
    <w:rsid w:val="00B86523"/>
    <w:rsid w:val="00BA7F92"/>
    <w:rsid w:val="00C95EC5"/>
    <w:rsid w:val="00CE0F55"/>
    <w:rsid w:val="00D07695"/>
    <w:rsid w:val="00F86E5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4201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0846A05D1C0D774708EDE97743BAEAA77D2A9183E8314A530754158CABD8F0369587AC4E3D2C03C3F1D06B6L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11</cp:revision>
  <dcterms:created xsi:type="dcterms:W3CDTF">2023-08-01T01:05:00Z</dcterms:created>
  <dcterms:modified xsi:type="dcterms:W3CDTF">2023-10-18T10:52:00Z</dcterms:modified>
</cp:coreProperties>
</file>