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386300" w:rsidRDefault="0054446A" w:rsidP="00B60245">
      <w:pPr>
        <w:spacing w:line="360" w:lineRule="auto"/>
        <w:jc w:val="center"/>
        <w:rPr>
          <w:sz w:val="32"/>
          <w:szCs w:val="32"/>
          <w:highlight w:val="yellow"/>
        </w:rPr>
      </w:pPr>
      <w:r w:rsidRPr="00386300">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A1348C" w:rsidRPr="00386300" w:rsidRDefault="00A1348C" w:rsidP="00A1348C">
      <w:pPr>
        <w:autoSpaceDE w:val="0"/>
        <w:autoSpaceDN w:val="0"/>
        <w:adjustRightInd w:val="0"/>
        <w:jc w:val="center"/>
        <w:rPr>
          <w:b/>
          <w:bCs/>
          <w:szCs w:val="28"/>
          <w:highlight w:val="yellow"/>
        </w:rPr>
      </w:pPr>
      <w:r w:rsidRPr="00386300">
        <w:rPr>
          <w:b/>
          <w:bCs/>
          <w:szCs w:val="28"/>
          <w:highlight w:val="yellow"/>
        </w:rPr>
        <w:t xml:space="preserve">РЕГИОНАЛЬНАЯ СЛУЖБА </w:t>
      </w:r>
    </w:p>
    <w:p w:rsidR="00A1348C" w:rsidRPr="00386300" w:rsidRDefault="00A1348C" w:rsidP="00A1348C">
      <w:pPr>
        <w:autoSpaceDE w:val="0"/>
        <w:autoSpaceDN w:val="0"/>
        <w:adjustRightInd w:val="0"/>
        <w:jc w:val="center"/>
        <w:rPr>
          <w:b/>
          <w:bCs/>
          <w:szCs w:val="28"/>
          <w:highlight w:val="yellow"/>
        </w:rPr>
      </w:pPr>
      <w:r w:rsidRPr="00386300">
        <w:rPr>
          <w:b/>
          <w:bCs/>
          <w:szCs w:val="28"/>
          <w:highlight w:val="yellow"/>
        </w:rPr>
        <w:t>ПО ТАРИФАМ И ЦЕНАМ КАМЧАТСКОГО КРАЯ</w:t>
      </w:r>
    </w:p>
    <w:p w:rsidR="00A1348C" w:rsidRPr="00386300" w:rsidRDefault="00A1348C" w:rsidP="00A1348C">
      <w:pPr>
        <w:tabs>
          <w:tab w:val="left" w:pos="7065"/>
        </w:tabs>
        <w:autoSpaceDE w:val="0"/>
        <w:autoSpaceDN w:val="0"/>
        <w:adjustRightInd w:val="0"/>
        <w:rPr>
          <w:b/>
          <w:bCs/>
          <w:sz w:val="32"/>
          <w:szCs w:val="32"/>
          <w:highlight w:val="yellow"/>
        </w:rPr>
      </w:pPr>
      <w:r w:rsidRPr="00386300">
        <w:rPr>
          <w:b/>
          <w:bCs/>
          <w:sz w:val="32"/>
          <w:szCs w:val="32"/>
          <w:highlight w:val="yellow"/>
        </w:rPr>
        <w:tab/>
      </w:r>
    </w:p>
    <w:p w:rsidR="00B60245" w:rsidRPr="00386300" w:rsidRDefault="00A1348C" w:rsidP="00A1348C">
      <w:pPr>
        <w:pStyle w:val="ConsPlusTitle"/>
        <w:widowControl/>
        <w:jc w:val="center"/>
        <w:rPr>
          <w:rFonts w:ascii="Times New Roman" w:hAnsi="Times New Roman" w:cs="Times New Roman"/>
          <w:sz w:val="28"/>
          <w:szCs w:val="28"/>
          <w:highlight w:val="yellow"/>
        </w:rPr>
      </w:pPr>
      <w:r w:rsidRPr="00386300">
        <w:rPr>
          <w:rFonts w:ascii="Times New Roman" w:hAnsi="Times New Roman" w:cs="Times New Roman"/>
          <w:sz w:val="28"/>
          <w:szCs w:val="28"/>
          <w:highlight w:val="yellow"/>
        </w:rPr>
        <w:t>ПОСТАНОВЛЕНИЕ</w:t>
      </w:r>
    </w:p>
    <w:p w:rsidR="00B60245" w:rsidRPr="00386300" w:rsidRDefault="00B60245" w:rsidP="00B60245">
      <w:pPr>
        <w:spacing w:line="360" w:lineRule="auto"/>
        <w:jc w:val="center"/>
        <w:rPr>
          <w:sz w:val="16"/>
          <w:szCs w:val="16"/>
          <w:highlight w:val="yellow"/>
        </w:rPr>
      </w:pPr>
    </w:p>
    <w:p w:rsidR="00B60245" w:rsidRPr="00386300"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386300" w:rsidTr="001E6FE1">
        <w:tc>
          <w:tcPr>
            <w:tcW w:w="2552" w:type="dxa"/>
            <w:tcBorders>
              <w:bottom w:val="single" w:sz="4" w:space="0" w:color="auto"/>
            </w:tcBorders>
          </w:tcPr>
          <w:p w:rsidR="00EB3439" w:rsidRPr="00386300" w:rsidRDefault="00EB3439" w:rsidP="001E6FE1">
            <w:pPr>
              <w:jc w:val="center"/>
              <w:rPr>
                <w:highlight w:val="yellow"/>
              </w:rPr>
            </w:pPr>
            <w:r w:rsidRPr="00386300">
              <w:rPr>
                <w:highlight w:val="yellow"/>
                <w:lang w:val="en-US"/>
              </w:rPr>
              <w:t>[</w:t>
            </w:r>
            <w:r w:rsidRPr="00386300">
              <w:rPr>
                <w:color w:val="E7E6E6"/>
                <w:highlight w:val="yellow"/>
              </w:rPr>
              <w:t>Дата регистрации</w:t>
            </w:r>
            <w:r w:rsidRPr="00386300">
              <w:rPr>
                <w:highlight w:val="yellow"/>
                <w:lang w:val="en-US"/>
              </w:rPr>
              <w:t>]</w:t>
            </w:r>
          </w:p>
        </w:tc>
        <w:tc>
          <w:tcPr>
            <w:tcW w:w="425" w:type="dxa"/>
          </w:tcPr>
          <w:p w:rsidR="00EB3439" w:rsidRPr="00386300" w:rsidRDefault="00EB3439" w:rsidP="001E6FE1">
            <w:pPr>
              <w:jc w:val="both"/>
              <w:rPr>
                <w:highlight w:val="yellow"/>
              </w:rPr>
            </w:pPr>
            <w:r w:rsidRPr="00386300">
              <w:rPr>
                <w:highlight w:val="yellow"/>
              </w:rPr>
              <w:t>№</w:t>
            </w:r>
          </w:p>
        </w:tc>
        <w:tc>
          <w:tcPr>
            <w:tcW w:w="2268" w:type="dxa"/>
            <w:tcBorders>
              <w:bottom w:val="single" w:sz="4" w:space="0" w:color="auto"/>
            </w:tcBorders>
          </w:tcPr>
          <w:p w:rsidR="00EB3439" w:rsidRPr="00386300" w:rsidRDefault="00EB3439" w:rsidP="001E6FE1">
            <w:pPr>
              <w:jc w:val="center"/>
              <w:rPr>
                <w:b/>
                <w:highlight w:val="yellow"/>
              </w:rPr>
            </w:pPr>
            <w:r w:rsidRPr="00386300">
              <w:rPr>
                <w:highlight w:val="yellow"/>
                <w:lang w:val="en-US"/>
              </w:rPr>
              <w:t>[</w:t>
            </w:r>
            <w:r w:rsidRPr="00386300">
              <w:rPr>
                <w:color w:val="E7E6E6"/>
                <w:highlight w:val="yellow"/>
              </w:rPr>
              <w:t>Номер</w:t>
            </w:r>
            <w:r w:rsidRPr="00386300">
              <w:rPr>
                <w:color w:val="E7E6E6"/>
                <w:sz w:val="20"/>
                <w:szCs w:val="20"/>
                <w:highlight w:val="yellow"/>
              </w:rPr>
              <w:t xml:space="preserve"> документа</w:t>
            </w:r>
            <w:r w:rsidRPr="00386300">
              <w:rPr>
                <w:highlight w:val="yellow"/>
                <w:lang w:val="en-US"/>
              </w:rPr>
              <w:t>]</w:t>
            </w:r>
          </w:p>
        </w:tc>
      </w:tr>
    </w:tbl>
    <w:p w:rsidR="00B60245" w:rsidRPr="00386300" w:rsidRDefault="00B60245" w:rsidP="00B60245">
      <w:pPr>
        <w:jc w:val="both"/>
        <w:rPr>
          <w:sz w:val="36"/>
          <w:highlight w:val="yellow"/>
          <w:vertAlign w:val="superscript"/>
        </w:rPr>
      </w:pPr>
      <w:r w:rsidRPr="00386300">
        <w:rPr>
          <w:sz w:val="36"/>
          <w:highlight w:val="yellow"/>
          <w:vertAlign w:val="superscript"/>
        </w:rPr>
        <w:t xml:space="preserve">           </w:t>
      </w:r>
      <w:r w:rsidR="00EB3439" w:rsidRPr="00386300">
        <w:rPr>
          <w:sz w:val="36"/>
          <w:highlight w:val="yellow"/>
          <w:vertAlign w:val="superscript"/>
        </w:rPr>
        <w:t xml:space="preserve">      </w:t>
      </w:r>
      <w:r w:rsidRPr="00386300">
        <w:rPr>
          <w:sz w:val="36"/>
          <w:highlight w:val="yellow"/>
          <w:vertAlign w:val="superscript"/>
        </w:rPr>
        <w:t xml:space="preserve">  г. Петропавловск-Камчатский</w:t>
      </w:r>
    </w:p>
    <w:p w:rsidR="00B60245" w:rsidRPr="00386300" w:rsidRDefault="00B60245" w:rsidP="00B60245">
      <w:pPr>
        <w:pStyle w:val="ConsPlusNormal"/>
        <w:widowControl/>
        <w:ind w:firstLine="0"/>
        <w:jc w:val="center"/>
        <w:rPr>
          <w:highlight w:val="yellow"/>
        </w:rPr>
      </w:pPr>
    </w:p>
    <w:tbl>
      <w:tblPr>
        <w:tblW w:w="0" w:type="auto"/>
        <w:tblInd w:w="108" w:type="dxa"/>
        <w:tblLayout w:type="fixed"/>
        <w:tblLook w:val="0000" w:firstRow="0" w:lastRow="0" w:firstColumn="0" w:lastColumn="0" w:noHBand="0" w:noVBand="0"/>
      </w:tblPr>
      <w:tblGrid>
        <w:gridCol w:w="4395"/>
      </w:tblGrid>
      <w:tr w:rsidR="00B60245" w:rsidRPr="00386300" w:rsidTr="00D23436">
        <w:tc>
          <w:tcPr>
            <w:tcW w:w="4395" w:type="dxa"/>
          </w:tcPr>
          <w:p w:rsidR="00B60245" w:rsidRPr="00386300" w:rsidRDefault="002F20DE" w:rsidP="00386300">
            <w:pPr>
              <w:jc w:val="both"/>
              <w:rPr>
                <w:szCs w:val="28"/>
                <w:highlight w:val="yellow"/>
              </w:rPr>
            </w:pPr>
            <w:r w:rsidRPr="00386300">
              <w:rPr>
                <w:szCs w:val="28"/>
                <w:highlight w:val="yellow"/>
              </w:rPr>
              <w:t>Об утверждении цен (тарифов) на электрическую энергию, поставляемую ПАО «Камчатск</w:t>
            </w:r>
            <w:r w:rsidR="001225CB" w:rsidRPr="00386300">
              <w:rPr>
                <w:szCs w:val="28"/>
                <w:highlight w:val="yellow"/>
              </w:rPr>
              <w:t>-</w:t>
            </w:r>
            <w:r w:rsidRPr="00386300">
              <w:rPr>
                <w:szCs w:val="28"/>
                <w:highlight w:val="yellow"/>
              </w:rPr>
              <w:t xml:space="preserve">энерго» </w:t>
            </w:r>
            <w:r w:rsidR="009E4D5E" w:rsidRPr="00386300">
              <w:rPr>
                <w:szCs w:val="28"/>
                <w:highlight w:val="yellow"/>
              </w:rPr>
              <w:t>по объектам электроснабжения рыбоперерабатывающих компаний, осуществляющих деятельность на территории, расположенной в с. Соболево, Соболевского муниципального района, Камчатского края, на 202</w:t>
            </w:r>
            <w:r w:rsidR="00386300" w:rsidRPr="00386300">
              <w:rPr>
                <w:szCs w:val="28"/>
                <w:highlight w:val="yellow"/>
              </w:rPr>
              <w:t>3</w:t>
            </w:r>
            <w:r w:rsidR="009E4D5E" w:rsidRPr="00386300">
              <w:rPr>
                <w:szCs w:val="28"/>
                <w:highlight w:val="yellow"/>
              </w:rPr>
              <w:t>год</w:t>
            </w:r>
          </w:p>
        </w:tc>
      </w:tr>
    </w:tbl>
    <w:p w:rsidR="00B60245" w:rsidRPr="00386300" w:rsidRDefault="00B60245" w:rsidP="00B60245">
      <w:pPr>
        <w:pStyle w:val="ConsPlusNormal"/>
        <w:widowControl/>
        <w:ind w:firstLine="0"/>
        <w:jc w:val="center"/>
        <w:rPr>
          <w:rFonts w:ascii="Times New Roman" w:hAnsi="Times New Roman" w:cs="Times New Roman"/>
          <w:sz w:val="28"/>
          <w:szCs w:val="28"/>
          <w:highlight w:val="yellow"/>
        </w:rPr>
      </w:pPr>
    </w:p>
    <w:p w:rsidR="00B60245" w:rsidRPr="00386300" w:rsidRDefault="00681B38" w:rsidP="001B5371">
      <w:pPr>
        <w:suppressAutoHyphens/>
        <w:adjustRightInd w:val="0"/>
        <w:ind w:firstLine="720"/>
        <w:jc w:val="both"/>
        <w:rPr>
          <w:szCs w:val="28"/>
          <w:highlight w:val="yellow"/>
        </w:rPr>
      </w:pPr>
      <w:r w:rsidRPr="00386300">
        <w:rPr>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13.10.2021 № 1106/21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2022 год, в среднем по субъекту Российской Федерации», от 19.06.2018 № 834/18 «Об утверждении Регламента установления цен (тарифов) и (или) их предельных уровней, предусматривающего порядок регистрации, принятия к </w:t>
      </w:r>
      <w:r w:rsidRPr="00386300">
        <w:rPr>
          <w:szCs w:val="28"/>
          <w:highlight w:val="yellow"/>
        </w:rPr>
        <w:lastRenderedPageBreak/>
        <w:t>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w:t>
      </w:r>
      <w:r w:rsidR="00386300" w:rsidRPr="00386300">
        <w:rPr>
          <w:szCs w:val="28"/>
          <w:highlight w:val="yellow"/>
        </w:rPr>
        <w:t>2</w:t>
      </w:r>
      <w:r w:rsidRPr="00386300">
        <w:rPr>
          <w:szCs w:val="28"/>
          <w:highlight w:val="yellow"/>
        </w:rPr>
        <w:t xml:space="preserve"> № ХХ</w:t>
      </w:r>
      <w:r w:rsidR="008C7217" w:rsidRPr="00386300">
        <w:rPr>
          <w:szCs w:val="28"/>
          <w:highlight w:val="yellow"/>
        </w:rPr>
        <w:t xml:space="preserve">, </w:t>
      </w:r>
    </w:p>
    <w:p w:rsidR="006E4B23" w:rsidRPr="00386300" w:rsidRDefault="006E4B23" w:rsidP="00B60245">
      <w:pPr>
        <w:adjustRightInd w:val="0"/>
        <w:ind w:firstLine="720"/>
        <w:jc w:val="both"/>
        <w:rPr>
          <w:szCs w:val="28"/>
          <w:highlight w:val="yellow"/>
        </w:rPr>
      </w:pPr>
    </w:p>
    <w:p w:rsidR="00B60245" w:rsidRPr="00386300" w:rsidRDefault="000C0ABF" w:rsidP="00B60245">
      <w:pPr>
        <w:adjustRightInd w:val="0"/>
        <w:ind w:firstLine="720"/>
        <w:jc w:val="both"/>
        <w:rPr>
          <w:szCs w:val="28"/>
          <w:highlight w:val="yellow"/>
        </w:rPr>
      </w:pPr>
      <w:r w:rsidRPr="00386300">
        <w:rPr>
          <w:szCs w:val="28"/>
          <w:highlight w:val="yellow"/>
        </w:rPr>
        <w:t>ПОСТАНОВЛЯЮ</w:t>
      </w:r>
      <w:r w:rsidR="00B60245" w:rsidRPr="00386300">
        <w:rPr>
          <w:szCs w:val="28"/>
          <w:highlight w:val="yellow"/>
        </w:rPr>
        <w:t>:</w:t>
      </w:r>
    </w:p>
    <w:p w:rsidR="00B60245" w:rsidRPr="00386300" w:rsidRDefault="00B60245" w:rsidP="00B60245">
      <w:pPr>
        <w:adjustRightInd w:val="0"/>
        <w:ind w:firstLine="720"/>
        <w:jc w:val="both"/>
        <w:rPr>
          <w:szCs w:val="28"/>
          <w:highlight w:val="yellow"/>
        </w:rPr>
      </w:pPr>
    </w:p>
    <w:p w:rsidR="00723550" w:rsidRPr="00386300" w:rsidRDefault="001F4618" w:rsidP="00723550">
      <w:pPr>
        <w:tabs>
          <w:tab w:val="num" w:pos="720"/>
        </w:tabs>
        <w:ind w:firstLine="709"/>
        <w:jc w:val="both"/>
        <w:rPr>
          <w:highlight w:val="yellow"/>
        </w:rPr>
      </w:pPr>
      <w:r w:rsidRPr="00386300">
        <w:rPr>
          <w:szCs w:val="28"/>
          <w:highlight w:val="yellow"/>
        </w:rPr>
        <w:t xml:space="preserve">1. </w:t>
      </w:r>
      <w:r w:rsidR="00723550" w:rsidRPr="00386300">
        <w:rPr>
          <w:highlight w:val="yellow"/>
        </w:rPr>
        <w:t>Утвердить и ввести в действие на 20</w:t>
      </w:r>
      <w:r w:rsidR="00FC4D28" w:rsidRPr="00386300">
        <w:rPr>
          <w:highlight w:val="yellow"/>
        </w:rPr>
        <w:t>2</w:t>
      </w:r>
      <w:r w:rsidR="00386300" w:rsidRPr="00386300">
        <w:rPr>
          <w:highlight w:val="yellow"/>
        </w:rPr>
        <w:t>3</w:t>
      </w:r>
      <w:r w:rsidR="00723550" w:rsidRPr="00386300">
        <w:rPr>
          <w:highlight w:val="yellow"/>
        </w:rPr>
        <w:t xml:space="preserve"> год цены (</w:t>
      </w:r>
      <w:r w:rsidR="00723550" w:rsidRPr="00386300">
        <w:rPr>
          <w:bCs/>
          <w:highlight w:val="yellow"/>
        </w:rPr>
        <w:t xml:space="preserve">тарифы) на электрическую энергию (мощность), поставляемую </w:t>
      </w:r>
      <w:r w:rsidR="00723550" w:rsidRPr="00386300">
        <w:rPr>
          <w:szCs w:val="28"/>
          <w:highlight w:val="yellow"/>
        </w:rPr>
        <w:t xml:space="preserve">ПАО «Камчатскэнерго» </w:t>
      </w:r>
      <w:r w:rsidR="009E4D5E" w:rsidRPr="00386300">
        <w:rPr>
          <w:szCs w:val="28"/>
          <w:highlight w:val="yellow"/>
        </w:rPr>
        <w:t xml:space="preserve">по объектам электроснабжения рыбоперерабатывающих компаний, осуществляющих деятельность на территории, расположенной в с. Соболево, Соболевского муниципального района, Камчатского края, </w:t>
      </w:r>
      <w:r w:rsidR="00723550" w:rsidRPr="00386300">
        <w:rPr>
          <w:highlight w:val="yellow"/>
        </w:rPr>
        <w:t>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723550" w:rsidRPr="00386300">
        <w:rPr>
          <w:bCs/>
          <w:highlight w:val="yellow"/>
        </w:rPr>
        <w:t xml:space="preserve">, </w:t>
      </w:r>
      <w:r w:rsidR="00723550" w:rsidRPr="00386300">
        <w:rPr>
          <w:szCs w:val="28"/>
          <w:highlight w:val="yellow"/>
        </w:rPr>
        <w:t>с календарной разбивкой,</w:t>
      </w:r>
      <w:r w:rsidR="00723550" w:rsidRPr="00386300">
        <w:rPr>
          <w:highlight w:val="yellow"/>
        </w:rPr>
        <w:t xml:space="preserve"> согласно приложению. </w:t>
      </w:r>
    </w:p>
    <w:p w:rsidR="00C7463E" w:rsidRPr="00386300" w:rsidRDefault="00723550" w:rsidP="00723550">
      <w:pPr>
        <w:tabs>
          <w:tab w:val="num" w:pos="720"/>
        </w:tabs>
        <w:ind w:firstLine="709"/>
        <w:jc w:val="both"/>
        <w:rPr>
          <w:szCs w:val="28"/>
          <w:highlight w:val="yellow"/>
        </w:rPr>
      </w:pPr>
      <w:r w:rsidRPr="00386300">
        <w:rPr>
          <w:szCs w:val="28"/>
          <w:highlight w:val="yellow"/>
        </w:rPr>
        <w:t xml:space="preserve">2. Настоящее постановление вступает в силу </w:t>
      </w:r>
      <w:r w:rsidR="00386300" w:rsidRPr="00386300">
        <w:rPr>
          <w:szCs w:val="28"/>
          <w:highlight w:val="yellow"/>
        </w:rPr>
        <w:t>после дня его официального опубликования</w:t>
      </w:r>
      <w:r w:rsidR="00586E9A" w:rsidRPr="00386300">
        <w:rPr>
          <w:szCs w:val="28"/>
          <w:highlight w:val="yellow"/>
        </w:rPr>
        <w:t>.</w:t>
      </w:r>
    </w:p>
    <w:p w:rsidR="001F4618" w:rsidRPr="00386300" w:rsidRDefault="001F4618" w:rsidP="00586E9A">
      <w:pPr>
        <w:pStyle w:val="31"/>
        <w:spacing w:after="0"/>
        <w:jc w:val="both"/>
        <w:rPr>
          <w:szCs w:val="28"/>
          <w:highlight w:val="yellow"/>
        </w:rPr>
      </w:pPr>
    </w:p>
    <w:p w:rsidR="00B60245" w:rsidRPr="00386300" w:rsidRDefault="00B60245" w:rsidP="000846DE">
      <w:pPr>
        <w:suppressAutoHyphens/>
        <w:adjustRightInd w:val="0"/>
        <w:ind w:firstLine="720"/>
        <w:jc w:val="both"/>
        <w:rPr>
          <w:szCs w:val="28"/>
          <w:highlight w:val="yellow"/>
        </w:rPr>
      </w:pPr>
    </w:p>
    <w:p w:rsidR="006E4B23" w:rsidRPr="00386300" w:rsidRDefault="006E4B23" w:rsidP="00B60245">
      <w:pPr>
        <w:adjustRightInd w:val="0"/>
        <w:ind w:firstLine="720"/>
        <w:jc w:val="both"/>
        <w:rPr>
          <w:szCs w:val="28"/>
          <w:highlight w:val="yellow"/>
        </w:rPr>
      </w:pPr>
    </w:p>
    <w:p w:rsidR="006E4B23" w:rsidRPr="00386300" w:rsidRDefault="006E4B23" w:rsidP="006E4B23">
      <w:pPr>
        <w:pStyle w:val="ConsPlusNormal"/>
        <w:ind w:firstLine="0"/>
        <w:jc w:val="both"/>
        <w:rPr>
          <w:rFonts w:ascii="Times New Roman" w:hAnsi="Times New Roman"/>
          <w:sz w:val="28"/>
          <w:highlight w:val="yellow"/>
        </w:rPr>
      </w:pPr>
      <w:r w:rsidRPr="00386300">
        <w:rPr>
          <w:rFonts w:ascii="Times New Roman" w:hAnsi="Times New Roman"/>
          <w:sz w:val="28"/>
          <w:highlight w:val="yellow"/>
        </w:rPr>
        <w:t xml:space="preserve">                               </w:t>
      </w:r>
    </w:p>
    <w:tbl>
      <w:tblPr>
        <w:tblW w:w="9923" w:type="dxa"/>
        <w:tblInd w:w="-142" w:type="dxa"/>
        <w:tblLook w:val="04A0" w:firstRow="1" w:lastRow="0" w:firstColumn="1" w:lastColumn="0" w:noHBand="0" w:noVBand="1"/>
      </w:tblPr>
      <w:tblGrid>
        <w:gridCol w:w="3828"/>
        <w:gridCol w:w="3827"/>
        <w:gridCol w:w="2268"/>
      </w:tblGrid>
      <w:tr w:rsidR="00EB3439" w:rsidRPr="00386300" w:rsidTr="0010596D">
        <w:trPr>
          <w:trHeight w:val="1284"/>
        </w:trPr>
        <w:tc>
          <w:tcPr>
            <w:tcW w:w="3828" w:type="dxa"/>
            <w:shd w:val="clear" w:color="auto" w:fill="auto"/>
          </w:tcPr>
          <w:p w:rsidR="00A1348C" w:rsidRPr="00386300" w:rsidRDefault="00A1348C" w:rsidP="00A1348C">
            <w:pPr>
              <w:pStyle w:val="ConsPlusNormal"/>
              <w:ind w:firstLine="0"/>
              <w:jc w:val="both"/>
              <w:rPr>
                <w:rFonts w:ascii="Times New Roman" w:hAnsi="Times New Roman"/>
                <w:sz w:val="28"/>
                <w:szCs w:val="28"/>
                <w:highlight w:val="yellow"/>
              </w:rPr>
            </w:pPr>
            <w:r w:rsidRPr="00386300">
              <w:rPr>
                <w:rFonts w:ascii="Times New Roman" w:hAnsi="Times New Roman"/>
                <w:sz w:val="28"/>
                <w:szCs w:val="28"/>
                <w:highlight w:val="yellow"/>
              </w:rPr>
              <w:t xml:space="preserve">Временно исполняющий обязанности руководителя </w:t>
            </w:r>
          </w:p>
          <w:p w:rsidR="000C0ABF" w:rsidRPr="00386300" w:rsidRDefault="000C0ABF" w:rsidP="00C942BC">
            <w:pPr>
              <w:pStyle w:val="ConsPlusNormal"/>
              <w:ind w:firstLine="0"/>
              <w:jc w:val="both"/>
              <w:rPr>
                <w:sz w:val="27"/>
                <w:szCs w:val="27"/>
                <w:highlight w:val="yellow"/>
              </w:rPr>
            </w:pPr>
          </w:p>
        </w:tc>
        <w:tc>
          <w:tcPr>
            <w:tcW w:w="3827" w:type="dxa"/>
            <w:shd w:val="clear" w:color="auto" w:fill="auto"/>
          </w:tcPr>
          <w:p w:rsidR="00EB3439" w:rsidRPr="00386300" w:rsidRDefault="00EB3439" w:rsidP="00D871DE">
            <w:pPr>
              <w:jc w:val="center"/>
              <w:rPr>
                <w:color w:val="D9D9D9"/>
                <w:highlight w:val="yellow"/>
              </w:rPr>
            </w:pPr>
            <w:r w:rsidRPr="00386300">
              <w:rPr>
                <w:color w:val="D9D9D9"/>
                <w:highlight w:val="yellow"/>
              </w:rPr>
              <w:t>[горизонтальный штамп подписи 1]</w:t>
            </w:r>
          </w:p>
          <w:p w:rsidR="00EB3439" w:rsidRPr="00386300" w:rsidRDefault="00EB3439" w:rsidP="001E6FE1">
            <w:pPr>
              <w:adjustRightInd w:val="0"/>
              <w:jc w:val="both"/>
              <w:rPr>
                <w:szCs w:val="28"/>
                <w:highlight w:val="yellow"/>
              </w:rPr>
            </w:pPr>
          </w:p>
        </w:tc>
        <w:tc>
          <w:tcPr>
            <w:tcW w:w="2268" w:type="dxa"/>
            <w:shd w:val="clear" w:color="auto" w:fill="auto"/>
          </w:tcPr>
          <w:p w:rsidR="00EB3439" w:rsidRPr="00386300" w:rsidRDefault="00FC4D28" w:rsidP="000C0ABF">
            <w:pPr>
              <w:adjustRightInd w:val="0"/>
              <w:ind w:right="36"/>
              <w:rPr>
                <w:szCs w:val="28"/>
                <w:highlight w:val="yellow"/>
              </w:rPr>
            </w:pPr>
            <w:r w:rsidRPr="00386300">
              <w:rPr>
                <w:highlight w:val="yellow"/>
              </w:rPr>
              <w:t>В.А. Губинский</w:t>
            </w:r>
          </w:p>
        </w:tc>
      </w:tr>
    </w:tbl>
    <w:p w:rsidR="00DD2E54" w:rsidRPr="00386300" w:rsidRDefault="00DD2E54"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p w:rsidR="00A1348C" w:rsidRPr="00386300" w:rsidRDefault="00A1348C" w:rsidP="00586E9A">
      <w:pPr>
        <w:ind w:firstLine="709"/>
        <w:jc w:val="both"/>
        <w:rPr>
          <w:szCs w:val="28"/>
          <w:highlight w:val="yellow"/>
        </w:rPr>
      </w:pPr>
    </w:p>
    <w:tbl>
      <w:tblPr>
        <w:tblpPr w:leftFromText="180" w:rightFromText="180" w:vertAnchor="text" w:horzAnchor="margin" w:tblpXSpec="right" w:tblpY="-247"/>
        <w:tblOverlap w:val="never"/>
        <w:tblW w:w="0" w:type="auto"/>
        <w:tblLook w:val="04A0" w:firstRow="1" w:lastRow="0" w:firstColumn="1" w:lastColumn="0" w:noHBand="0" w:noVBand="1"/>
      </w:tblPr>
      <w:tblGrid>
        <w:gridCol w:w="5322"/>
      </w:tblGrid>
      <w:tr w:rsidR="00586E9A" w:rsidRPr="00386300" w:rsidTr="002A1DB3">
        <w:tc>
          <w:tcPr>
            <w:tcW w:w="5322" w:type="dxa"/>
            <w:shd w:val="clear" w:color="auto" w:fill="auto"/>
          </w:tcPr>
          <w:p w:rsidR="00586E9A" w:rsidRPr="00386300" w:rsidRDefault="00586E9A" w:rsidP="002A1DB3">
            <w:pPr>
              <w:rPr>
                <w:szCs w:val="28"/>
                <w:highlight w:val="yellow"/>
              </w:rPr>
            </w:pPr>
            <w:r w:rsidRPr="00386300">
              <w:rPr>
                <w:szCs w:val="28"/>
                <w:highlight w:val="yellow"/>
              </w:rPr>
              <w:lastRenderedPageBreak/>
              <w:t xml:space="preserve">Приложение </w:t>
            </w:r>
          </w:p>
          <w:p w:rsidR="00586E9A" w:rsidRPr="00386300" w:rsidRDefault="00586E9A" w:rsidP="002A1DB3">
            <w:pPr>
              <w:rPr>
                <w:szCs w:val="28"/>
                <w:highlight w:val="yellow"/>
              </w:rPr>
            </w:pPr>
            <w:r w:rsidRPr="00386300">
              <w:rPr>
                <w:szCs w:val="28"/>
                <w:highlight w:val="yellow"/>
              </w:rPr>
              <w:t xml:space="preserve">к постановлению Региональной службы по тарифам и ценам Камчатского края </w:t>
            </w:r>
          </w:p>
          <w:p w:rsidR="00586E9A" w:rsidRPr="00386300" w:rsidRDefault="00586E9A" w:rsidP="00386300">
            <w:pPr>
              <w:rPr>
                <w:szCs w:val="28"/>
                <w:highlight w:val="yellow"/>
              </w:rPr>
            </w:pPr>
            <w:r w:rsidRPr="00386300">
              <w:rPr>
                <w:szCs w:val="28"/>
                <w:highlight w:val="yellow"/>
              </w:rPr>
              <w:t xml:space="preserve">от </w:t>
            </w:r>
            <w:r w:rsidR="00386300" w:rsidRPr="00386300">
              <w:rPr>
                <w:szCs w:val="28"/>
                <w:highlight w:val="yellow"/>
              </w:rPr>
              <w:t>ХХ.ХХ</w:t>
            </w:r>
            <w:r w:rsidR="00FC4D28" w:rsidRPr="00386300">
              <w:rPr>
                <w:szCs w:val="28"/>
                <w:highlight w:val="yellow"/>
              </w:rPr>
              <w:t>.202</w:t>
            </w:r>
            <w:r w:rsidR="00386300" w:rsidRPr="00386300">
              <w:rPr>
                <w:szCs w:val="28"/>
                <w:highlight w:val="yellow"/>
              </w:rPr>
              <w:t>2</w:t>
            </w:r>
            <w:r w:rsidRPr="00386300">
              <w:rPr>
                <w:szCs w:val="28"/>
                <w:highlight w:val="yellow"/>
              </w:rPr>
              <w:t xml:space="preserve"> № ХХ</w:t>
            </w:r>
          </w:p>
        </w:tc>
      </w:tr>
    </w:tbl>
    <w:p w:rsidR="00586E9A" w:rsidRPr="00386300" w:rsidRDefault="00586E9A" w:rsidP="00586E9A">
      <w:pPr>
        <w:rPr>
          <w:highlight w:val="yellow"/>
        </w:rPr>
      </w:pPr>
    </w:p>
    <w:p w:rsidR="00586E9A" w:rsidRPr="00386300" w:rsidRDefault="00586E9A" w:rsidP="00586E9A">
      <w:pPr>
        <w:rPr>
          <w:highlight w:val="yellow"/>
        </w:rPr>
      </w:pPr>
    </w:p>
    <w:p w:rsidR="00586E9A" w:rsidRPr="00386300" w:rsidRDefault="00586E9A" w:rsidP="00586E9A">
      <w:pPr>
        <w:rPr>
          <w:highlight w:val="yellow"/>
        </w:rPr>
      </w:pPr>
    </w:p>
    <w:p w:rsidR="00586E9A" w:rsidRPr="00386300" w:rsidRDefault="00586E9A" w:rsidP="00586E9A">
      <w:pPr>
        <w:rPr>
          <w:highlight w:val="yellow"/>
        </w:rPr>
      </w:pPr>
    </w:p>
    <w:p w:rsidR="00586E9A" w:rsidRPr="00386300" w:rsidRDefault="00586E9A" w:rsidP="00586E9A">
      <w:pPr>
        <w:rPr>
          <w:highlight w:val="yellow"/>
        </w:rPr>
      </w:pPr>
    </w:p>
    <w:p w:rsidR="00CD61EA" w:rsidRPr="00386300" w:rsidRDefault="00CD61EA" w:rsidP="00CD61EA">
      <w:pPr>
        <w:jc w:val="center"/>
        <w:rPr>
          <w:rFonts w:eastAsiaTheme="minorHAnsi"/>
          <w:szCs w:val="28"/>
          <w:highlight w:val="yellow"/>
          <w:lang w:eastAsia="en-US"/>
        </w:rPr>
      </w:pPr>
      <w:r w:rsidRPr="00386300">
        <w:rPr>
          <w:rFonts w:eastAsiaTheme="minorHAnsi"/>
          <w:szCs w:val="28"/>
          <w:highlight w:val="yellow"/>
          <w:lang w:eastAsia="en-US"/>
        </w:rPr>
        <w:t>Цены (тарифы)</w:t>
      </w:r>
    </w:p>
    <w:p w:rsidR="00CD61EA" w:rsidRPr="00386300" w:rsidRDefault="00CD61EA" w:rsidP="00CD61EA">
      <w:pPr>
        <w:jc w:val="center"/>
        <w:rPr>
          <w:szCs w:val="28"/>
          <w:highlight w:val="yellow"/>
        </w:rPr>
      </w:pPr>
      <w:r w:rsidRPr="00386300">
        <w:rPr>
          <w:rFonts w:eastAsiaTheme="minorHAnsi"/>
          <w:szCs w:val="28"/>
          <w:highlight w:val="yellow"/>
          <w:lang w:eastAsia="en-US"/>
        </w:rPr>
        <w:t xml:space="preserve">на электрическую энергию (мощность), поставляемую ПАО «Камчатскэнерго» по объектам электроснабжения рыбоперерабатывающих компаний, осуществляющих деятельность на территории, расположенной в с. Соболево, Соболевскоо муниципального района, Камчатского края, покупателям на розничных рынках в технологически изолированных территориальных электроэнергетических системах </w:t>
      </w:r>
      <w:r w:rsidR="00962FF6" w:rsidRPr="00386300">
        <w:rPr>
          <w:rFonts w:eastAsiaTheme="minorHAnsi"/>
          <w:szCs w:val="28"/>
          <w:highlight w:val="yellow"/>
          <w:lang w:eastAsia="en-US"/>
        </w:rPr>
        <w:t>на</w:t>
      </w:r>
      <w:r w:rsidR="00962FF6" w:rsidRPr="00386300">
        <w:rPr>
          <w:szCs w:val="28"/>
          <w:highlight w:val="yellow"/>
        </w:rPr>
        <w:t xml:space="preserve"> 202</w:t>
      </w:r>
      <w:r w:rsidR="00386300" w:rsidRPr="00386300">
        <w:rPr>
          <w:szCs w:val="28"/>
          <w:highlight w:val="yellow"/>
        </w:rPr>
        <w:t>3</w:t>
      </w:r>
      <w:r w:rsidR="00962FF6" w:rsidRPr="00386300">
        <w:rPr>
          <w:szCs w:val="28"/>
          <w:highlight w:val="yellow"/>
        </w:rPr>
        <w:t xml:space="preserve"> год</w:t>
      </w:r>
    </w:p>
    <w:p w:rsidR="00CD61EA" w:rsidRPr="00386300" w:rsidRDefault="00CD61EA" w:rsidP="00CD61EA">
      <w:pPr>
        <w:rPr>
          <w:highlight w:val="yellow"/>
        </w:rPr>
      </w:pPr>
    </w:p>
    <w:tbl>
      <w:tblPr>
        <w:tblW w:w="9845" w:type="dxa"/>
        <w:tblInd w:w="70" w:type="dxa"/>
        <w:tblLayout w:type="fixed"/>
        <w:tblCellMar>
          <w:left w:w="70" w:type="dxa"/>
          <w:right w:w="70" w:type="dxa"/>
        </w:tblCellMar>
        <w:tblLook w:val="0000" w:firstRow="0" w:lastRow="0" w:firstColumn="0" w:lastColumn="0" w:noHBand="0" w:noVBand="0"/>
      </w:tblPr>
      <w:tblGrid>
        <w:gridCol w:w="680"/>
        <w:gridCol w:w="2219"/>
        <w:gridCol w:w="1134"/>
        <w:gridCol w:w="567"/>
        <w:gridCol w:w="709"/>
        <w:gridCol w:w="709"/>
        <w:gridCol w:w="850"/>
        <w:gridCol w:w="709"/>
        <w:gridCol w:w="709"/>
        <w:gridCol w:w="708"/>
        <w:gridCol w:w="851"/>
      </w:tblGrid>
      <w:tr w:rsidR="00CD61EA" w:rsidRPr="00386300" w:rsidTr="0006240E">
        <w:trPr>
          <w:cantSplit/>
          <w:trHeight w:val="477"/>
        </w:trPr>
        <w:tc>
          <w:tcPr>
            <w:tcW w:w="680" w:type="dxa"/>
            <w:vMerge w:val="restart"/>
            <w:tcBorders>
              <w:top w:val="single" w:sz="6" w:space="0" w:color="auto"/>
              <w:left w:val="single" w:sz="6" w:space="0" w:color="auto"/>
              <w:right w:val="single" w:sz="6" w:space="0" w:color="auto"/>
            </w:tcBorders>
            <w:vAlign w:val="center"/>
          </w:tcPr>
          <w:p w:rsidR="00CD61EA" w:rsidRPr="00386300" w:rsidRDefault="00CD61EA" w:rsidP="00AB63C8">
            <w:pPr>
              <w:pStyle w:val="ConsPlusCell"/>
              <w:jc w:val="center"/>
              <w:rPr>
                <w:rFonts w:ascii="Times New Roman" w:hAnsi="Times New Roman" w:cs="Times New Roman"/>
                <w:highlight w:val="yellow"/>
              </w:rPr>
            </w:pPr>
            <w:r w:rsidRPr="00386300">
              <w:rPr>
                <w:rFonts w:ascii="Times New Roman" w:hAnsi="Times New Roman" w:cs="Times New Roman"/>
                <w:highlight w:val="yellow"/>
              </w:rPr>
              <w:t xml:space="preserve">№ </w:t>
            </w:r>
          </w:p>
          <w:p w:rsidR="00CD61EA" w:rsidRPr="00386300" w:rsidRDefault="00CD61EA" w:rsidP="00AB63C8">
            <w:pPr>
              <w:pStyle w:val="ConsPlusCell"/>
              <w:jc w:val="center"/>
              <w:rPr>
                <w:rFonts w:ascii="Times New Roman" w:hAnsi="Times New Roman" w:cs="Times New Roman"/>
                <w:highlight w:val="yellow"/>
              </w:rPr>
            </w:pPr>
            <w:r w:rsidRPr="00386300">
              <w:rPr>
                <w:rFonts w:ascii="Times New Roman" w:hAnsi="Times New Roman" w:cs="Times New Roman"/>
                <w:highlight w:val="yellow"/>
              </w:rPr>
              <w:t>п/п</w:t>
            </w:r>
          </w:p>
        </w:tc>
        <w:tc>
          <w:tcPr>
            <w:tcW w:w="2219" w:type="dxa"/>
            <w:vMerge w:val="restart"/>
            <w:tcBorders>
              <w:top w:val="single" w:sz="6" w:space="0" w:color="auto"/>
              <w:left w:val="single" w:sz="6" w:space="0" w:color="auto"/>
              <w:right w:val="single" w:sz="6" w:space="0" w:color="auto"/>
            </w:tcBorders>
            <w:vAlign w:val="center"/>
          </w:tcPr>
          <w:p w:rsidR="00CD61EA" w:rsidRPr="00386300" w:rsidRDefault="00CD61EA" w:rsidP="00AB63C8">
            <w:pPr>
              <w:pStyle w:val="ConsPlusCell"/>
              <w:rPr>
                <w:rFonts w:ascii="Times New Roman" w:hAnsi="Times New Roman" w:cs="Times New Roman"/>
                <w:highlight w:val="yellow"/>
              </w:rPr>
            </w:pPr>
            <w:r w:rsidRPr="00386300">
              <w:rPr>
                <w:rFonts w:ascii="Times New Roman" w:hAnsi="Times New Roman" w:cs="Times New Roman"/>
                <w:highlight w:val="yellow"/>
              </w:rPr>
              <w:t>Показатель (группы потребителей с разбивкой 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D61EA" w:rsidRPr="00386300" w:rsidRDefault="00CD61EA" w:rsidP="00AB63C8">
            <w:pPr>
              <w:pStyle w:val="ConsPlusCell"/>
              <w:jc w:val="center"/>
              <w:rPr>
                <w:rFonts w:ascii="Times New Roman" w:hAnsi="Times New Roman" w:cs="Times New Roman"/>
                <w:highlight w:val="yellow"/>
              </w:rPr>
            </w:pPr>
            <w:r w:rsidRPr="00386300">
              <w:rPr>
                <w:rFonts w:ascii="Times New Roman" w:hAnsi="Times New Roman" w:cs="Times New Roman"/>
                <w:highlight w:val="yellow"/>
              </w:rPr>
              <w:t>Единица измерения</w:t>
            </w:r>
          </w:p>
        </w:tc>
        <w:tc>
          <w:tcPr>
            <w:tcW w:w="2835" w:type="dxa"/>
            <w:gridSpan w:val="4"/>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I полугодие</w:t>
            </w:r>
          </w:p>
          <w:p w:rsidR="00CD61EA" w:rsidRPr="00386300" w:rsidRDefault="00CD61EA" w:rsidP="00AB63C8">
            <w:pPr>
              <w:pStyle w:val="ConsPlusCell"/>
              <w:widowControl/>
              <w:jc w:val="center"/>
              <w:rPr>
                <w:rFonts w:ascii="Times New Roman" w:hAnsi="Times New Roman" w:cs="Times New Roman"/>
                <w:highlight w:val="yellow"/>
              </w:rPr>
            </w:pPr>
          </w:p>
        </w:tc>
        <w:tc>
          <w:tcPr>
            <w:tcW w:w="2977" w:type="dxa"/>
            <w:gridSpan w:val="4"/>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II полугодие</w:t>
            </w:r>
          </w:p>
          <w:p w:rsidR="00CD61EA" w:rsidRPr="00386300" w:rsidRDefault="00CD61EA" w:rsidP="00AB63C8">
            <w:pPr>
              <w:pStyle w:val="ConsPlusCell"/>
              <w:widowControl/>
              <w:jc w:val="center"/>
              <w:rPr>
                <w:rFonts w:ascii="Times New Roman" w:hAnsi="Times New Roman" w:cs="Times New Roman"/>
                <w:highlight w:val="yellow"/>
              </w:rPr>
            </w:pPr>
          </w:p>
        </w:tc>
      </w:tr>
      <w:tr w:rsidR="00CD61EA" w:rsidRPr="00386300" w:rsidTr="0006240E">
        <w:trPr>
          <w:cantSplit/>
          <w:trHeight w:val="199"/>
        </w:trPr>
        <w:tc>
          <w:tcPr>
            <w:tcW w:w="680" w:type="dxa"/>
            <w:vMerge/>
            <w:tcBorders>
              <w:left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2219" w:type="dxa"/>
            <w:vMerge/>
            <w:tcBorders>
              <w:left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1134" w:type="dxa"/>
            <w:vMerge/>
            <w:tcBorders>
              <w:left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2835" w:type="dxa"/>
            <w:gridSpan w:val="4"/>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Цена (тариф)</w:t>
            </w:r>
          </w:p>
        </w:tc>
        <w:tc>
          <w:tcPr>
            <w:tcW w:w="2977" w:type="dxa"/>
            <w:gridSpan w:val="4"/>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Цена (тариф)</w:t>
            </w:r>
          </w:p>
        </w:tc>
      </w:tr>
      <w:tr w:rsidR="00CD61EA" w:rsidRPr="00386300" w:rsidTr="0006240E">
        <w:trPr>
          <w:cantSplit/>
          <w:trHeight w:val="238"/>
        </w:trPr>
        <w:tc>
          <w:tcPr>
            <w:tcW w:w="680" w:type="dxa"/>
            <w:vMerge/>
            <w:tcBorders>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p>
        </w:tc>
        <w:tc>
          <w:tcPr>
            <w:tcW w:w="2219" w:type="dxa"/>
            <w:vMerge/>
            <w:tcBorders>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p>
        </w:tc>
        <w:tc>
          <w:tcPr>
            <w:tcW w:w="1134" w:type="dxa"/>
            <w:vMerge/>
            <w:tcBorders>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ВН</w:t>
            </w:r>
          </w:p>
        </w:tc>
        <w:tc>
          <w:tcPr>
            <w:tcW w:w="709"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НН</w:t>
            </w:r>
          </w:p>
        </w:tc>
        <w:tc>
          <w:tcPr>
            <w:tcW w:w="709"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ВН</w:t>
            </w:r>
          </w:p>
        </w:tc>
        <w:tc>
          <w:tcPr>
            <w:tcW w:w="709"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НН</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2</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3</w:t>
            </w:r>
          </w:p>
        </w:tc>
        <w:tc>
          <w:tcPr>
            <w:tcW w:w="567"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4</w:t>
            </w:r>
          </w:p>
        </w:tc>
        <w:tc>
          <w:tcPr>
            <w:tcW w:w="70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5</w:t>
            </w:r>
          </w:p>
        </w:tc>
        <w:tc>
          <w:tcPr>
            <w:tcW w:w="70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6</w:t>
            </w:r>
          </w:p>
        </w:tc>
        <w:tc>
          <w:tcPr>
            <w:tcW w:w="85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7</w:t>
            </w:r>
          </w:p>
        </w:tc>
        <w:tc>
          <w:tcPr>
            <w:tcW w:w="70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8</w:t>
            </w:r>
          </w:p>
        </w:tc>
        <w:tc>
          <w:tcPr>
            <w:tcW w:w="70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9</w:t>
            </w:r>
          </w:p>
        </w:tc>
        <w:tc>
          <w:tcPr>
            <w:tcW w:w="708"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10</w:t>
            </w:r>
          </w:p>
        </w:tc>
        <w:tc>
          <w:tcPr>
            <w:tcW w:w="851"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11</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1</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21,605</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21,605</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1.2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r w:rsidRPr="00386300">
              <w:rPr>
                <w:rFonts w:ascii="Times New Roman" w:hAnsi="Times New Roman" w:cs="Times New Roman"/>
                <w:highlight w:val="yellow"/>
              </w:rPr>
              <w:t xml:space="preserve"> </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15,124</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15,124</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21,605</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21,605</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27,007</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27,007</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r w:rsidRPr="00386300">
              <w:rPr>
                <w:rFonts w:ascii="Times New Roman" w:hAnsi="Times New Roman" w:cs="Times New Roman"/>
                <w:highlight w:val="yellow"/>
              </w:rPr>
              <w:t xml:space="preserve">  </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15,124</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15,124</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24,846</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06240E"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24,846</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Одноставочные тарифы, дифференцированные по двум зонам суток </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2.3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2.4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lastRenderedPageBreak/>
              <w:t>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9" w:history="1">
              <w:r w:rsidRPr="00386300">
                <w:rPr>
                  <w:rFonts w:ascii="Times New Roman" w:hAnsi="Times New Roman" w:cs="Times New Roman"/>
                  <w:highlight w:val="yellow"/>
                </w:rPr>
                <w:t>постановлением</w:t>
              </w:r>
            </w:hyperlink>
            <w:r w:rsidRPr="00386300">
              <w:rPr>
                <w:rFonts w:ascii="Times New Roman" w:hAnsi="Times New Roman" w:cs="Times New Roman"/>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0" w:history="1">
              <w:r w:rsidRPr="00386300">
                <w:rPr>
                  <w:rFonts w:ascii="Times New Roman" w:hAnsi="Times New Roman" w:cs="Times New Roman"/>
                  <w:highlight w:val="yellow"/>
                </w:rPr>
                <w:t>пунктом 1</w:t>
              </w:r>
            </w:hyperlink>
            <w:r w:rsidRPr="00386300">
              <w:rPr>
                <w:rFonts w:ascii="Times New Roman" w:hAnsi="Times New Roman" w:cs="Times New Roman"/>
                <w:highlight w:val="yellow"/>
              </w:rPr>
              <w:t xml:space="preserve">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3.3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3.4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4</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1" w:history="1">
              <w:r w:rsidRPr="00386300">
                <w:rPr>
                  <w:rFonts w:ascii="Times New Roman" w:hAnsi="Times New Roman" w:cs="Times New Roman"/>
                  <w:highlight w:val="yellow"/>
                </w:rPr>
                <w:t>пунктами 1</w:t>
              </w:r>
            </w:hyperlink>
            <w:r w:rsidRPr="00386300">
              <w:rPr>
                <w:rFonts w:ascii="Times New Roman" w:hAnsi="Times New Roman" w:cs="Times New Roman"/>
                <w:highlight w:val="yellow"/>
              </w:rPr>
              <w:t xml:space="preserve"> и </w:t>
            </w:r>
            <w:hyperlink r:id="rId12" w:history="1">
              <w:r w:rsidRPr="00386300">
                <w:rPr>
                  <w:rFonts w:ascii="Times New Roman" w:hAnsi="Times New Roman" w:cs="Times New Roman"/>
                  <w:highlight w:val="yellow"/>
                </w:rPr>
                <w:t>2</w:t>
              </w:r>
            </w:hyperlink>
            <w:r w:rsidRPr="00386300">
              <w:rPr>
                <w:rFonts w:ascii="Times New Roman" w:hAnsi="Times New Roman" w:cs="Times New Roman"/>
                <w:highlight w:val="yellow"/>
              </w:rPr>
              <w:t xml:space="preserve">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4.3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4.4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5</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3" w:history="1">
              <w:r w:rsidRPr="00386300">
                <w:rPr>
                  <w:rFonts w:ascii="Times New Roman" w:hAnsi="Times New Roman" w:cs="Times New Roman"/>
                  <w:highlight w:val="yellow"/>
                </w:rPr>
                <w:t>пунктами 1</w:t>
              </w:r>
            </w:hyperlink>
            <w:r w:rsidRPr="00386300">
              <w:rPr>
                <w:rFonts w:ascii="Times New Roman" w:hAnsi="Times New Roman" w:cs="Times New Roman"/>
                <w:highlight w:val="yellow"/>
              </w:rPr>
              <w:t xml:space="preserve"> - </w:t>
            </w:r>
            <w:hyperlink r:id="rId14" w:history="1">
              <w:r w:rsidRPr="00386300">
                <w:rPr>
                  <w:rFonts w:ascii="Times New Roman" w:hAnsi="Times New Roman" w:cs="Times New Roman"/>
                  <w:highlight w:val="yellow"/>
                </w:rPr>
                <w:t>3</w:t>
              </w:r>
            </w:hyperlink>
            <w:r w:rsidRPr="00386300">
              <w:rPr>
                <w:rFonts w:ascii="Times New Roman" w:hAnsi="Times New Roman" w:cs="Times New Roman"/>
                <w:highlight w:val="yellow"/>
              </w:rPr>
              <w:t xml:space="preserve">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5.2</w:t>
            </w:r>
          </w:p>
        </w:tc>
        <w:tc>
          <w:tcPr>
            <w:tcW w:w="9165" w:type="dxa"/>
            <w:gridSpan w:val="10"/>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5.3</w:t>
            </w:r>
          </w:p>
        </w:tc>
        <w:tc>
          <w:tcPr>
            <w:tcW w:w="9165" w:type="dxa"/>
            <w:gridSpan w:val="10"/>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5.3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5.4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lastRenderedPageBreak/>
              <w:t>6</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5" w:history="1">
              <w:r w:rsidRPr="00386300">
                <w:rPr>
                  <w:rFonts w:ascii="Times New Roman" w:hAnsi="Times New Roman" w:cs="Times New Roman"/>
                  <w:highlight w:val="yellow"/>
                </w:rPr>
                <w:t>пунктом 1</w:t>
              </w:r>
            </w:hyperlink>
            <w:r w:rsidRPr="00386300">
              <w:rPr>
                <w:rFonts w:ascii="Times New Roman" w:hAnsi="Times New Roman" w:cs="Times New Roman"/>
                <w:highlight w:val="yellow"/>
              </w:rPr>
              <w:t xml:space="preserve">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1736B4"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5,590</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1736B4"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6,920</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6.2</w:t>
            </w:r>
          </w:p>
        </w:tc>
        <w:tc>
          <w:tcPr>
            <w:tcW w:w="9165" w:type="dxa"/>
            <w:gridSpan w:val="10"/>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4,472</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4,844</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5,590</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6,920</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6,708</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w:t>
            </w: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8,650</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6.3</w:t>
            </w:r>
          </w:p>
        </w:tc>
        <w:tc>
          <w:tcPr>
            <w:tcW w:w="9165" w:type="dxa"/>
            <w:gridSpan w:val="10"/>
            <w:tcBorders>
              <w:top w:val="single" w:sz="6" w:space="0" w:color="auto"/>
              <w:left w:val="single" w:sz="6" w:space="0" w:color="auto"/>
              <w:bottom w:val="single" w:sz="6" w:space="0" w:color="auto"/>
              <w:right w:val="single" w:sz="6" w:space="0" w:color="auto"/>
            </w:tcBorders>
            <w:vAlign w:val="center"/>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4,472</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4,844</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6.3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6,429</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rPr>
            </w:pPr>
            <w:r w:rsidRPr="00386300">
              <w:rPr>
                <w:rFonts w:ascii="Times New Roman" w:hAnsi="Times New Roman" w:cs="Times New Roman"/>
                <w:highlight w:val="yellow"/>
              </w:rPr>
              <w:t>-</w:t>
            </w:r>
          </w:p>
        </w:tc>
        <w:tc>
          <w:tcPr>
            <w:tcW w:w="851" w:type="dxa"/>
            <w:tcBorders>
              <w:top w:val="single" w:sz="6" w:space="0" w:color="auto"/>
              <w:left w:val="single" w:sz="4" w:space="0" w:color="auto"/>
              <w:bottom w:val="single" w:sz="6" w:space="0" w:color="auto"/>
              <w:right w:val="single" w:sz="6" w:space="0" w:color="auto"/>
            </w:tcBorders>
          </w:tcPr>
          <w:p w:rsidR="00CD61EA" w:rsidRPr="00386300" w:rsidRDefault="001736B4" w:rsidP="00AB63C8">
            <w:pPr>
              <w:rPr>
                <w:sz w:val="22"/>
                <w:szCs w:val="22"/>
                <w:highlight w:val="yellow"/>
              </w:rPr>
            </w:pPr>
            <w:r w:rsidRPr="00386300">
              <w:rPr>
                <w:sz w:val="22"/>
                <w:szCs w:val="22"/>
                <w:highlight w:val="yellow"/>
              </w:rPr>
              <w:t>7,958</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6.4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1736B4"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11691</w:t>
            </w: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center"/>
              <w:rPr>
                <w:rFonts w:ascii="Times New Roman" w:hAnsi="Times New Roman" w:cs="Times New Roman"/>
                <w:highlight w:val="yellow"/>
                <w:lang w:val="en-US"/>
              </w:rPr>
            </w:pPr>
            <w:r w:rsidRPr="00386300">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1736B4" w:rsidP="00AB63C8">
            <w:pPr>
              <w:pStyle w:val="ConsPlusCell"/>
              <w:widowControl/>
              <w:jc w:val="right"/>
              <w:rPr>
                <w:rFonts w:ascii="Times New Roman" w:hAnsi="Times New Roman" w:cs="Times New Roman"/>
                <w:highlight w:val="yellow"/>
              </w:rPr>
            </w:pPr>
            <w:r w:rsidRPr="00386300">
              <w:rPr>
                <w:rFonts w:ascii="Times New Roman" w:hAnsi="Times New Roman" w:cs="Times New Roman"/>
                <w:highlight w:val="yellow"/>
              </w:rPr>
              <w:t>59035</w:t>
            </w: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7</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руб./кВт·ч</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7.3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7.4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8</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w:t>
            </w:r>
            <w:r w:rsidRPr="00386300">
              <w:rPr>
                <w:rFonts w:ascii="Times New Roman" w:hAnsi="Times New Roman" w:cs="Times New Roman"/>
                <w:highlight w:val="yellow"/>
              </w:rPr>
              <w:t>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8.3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8.4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lastRenderedPageBreak/>
              <w:t>9</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w:t>
            </w:r>
            <w:r w:rsidRPr="00386300">
              <w:rPr>
                <w:rFonts w:ascii="Times New Roman" w:hAnsi="Times New Roman" w:cs="Times New Roman"/>
                <w:highlight w:val="yellow"/>
              </w:rPr>
              <w:t>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9.3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9.4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10</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386300">
              <w:rPr>
                <w:rFonts w:ascii="Times New Roman" w:hAnsi="Times New Roman" w:cs="Times New Roman"/>
                <w:highlight w:val="yellow"/>
                <w:vertAlign w:val="superscript"/>
              </w:rPr>
              <w:t>1</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10.3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10.4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708"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11</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jc w:val="both"/>
              <w:rPr>
                <w:rFonts w:ascii="Times New Roman" w:hAnsi="Times New Roman" w:cs="Times New Roman"/>
                <w:highlight w:val="yellow"/>
              </w:rPr>
            </w:pPr>
            <w:r w:rsidRPr="00386300">
              <w:rPr>
                <w:rFonts w:ascii="Times New Roman" w:hAnsi="Times New Roman" w:cs="Times New Roman"/>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11.1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.2</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трем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.2</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.2</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.2</w:t>
            </w:r>
            <w:r w:rsidRPr="00386300">
              <w:rPr>
                <w:rFonts w:ascii="Times New Roman" w:hAnsi="Times New Roman" w:cs="Times New Roman"/>
                <w:highlight w:val="yellow"/>
              </w:rPr>
              <w:t>.3</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AB63C8">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.3</w:t>
            </w:r>
          </w:p>
        </w:tc>
        <w:tc>
          <w:tcPr>
            <w:tcW w:w="9165" w:type="dxa"/>
            <w:gridSpan w:val="10"/>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Одноставочные тарифы, дифференцированные по двум зонам суток</w:t>
            </w:r>
            <w:r w:rsidRPr="00386300">
              <w:rPr>
                <w:rFonts w:ascii="Times New Roman" w:hAnsi="Times New Roman" w:cs="Times New Roman"/>
                <w:highlight w:val="yellow"/>
                <w:vertAlign w:val="superscript"/>
              </w:rPr>
              <w:t>2</w:t>
            </w: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lastRenderedPageBreak/>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.3</w:t>
            </w:r>
            <w:r w:rsidRPr="00386300">
              <w:rPr>
                <w:rFonts w:ascii="Times New Roman" w:hAnsi="Times New Roman" w:cs="Times New Roman"/>
                <w:highlight w:val="yellow"/>
              </w:rPr>
              <w:t>.1</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.3</w:t>
            </w:r>
            <w:r w:rsidRPr="00386300">
              <w:rPr>
                <w:rFonts w:ascii="Times New Roman" w:hAnsi="Times New Roman" w:cs="Times New Roman"/>
                <w:highlight w:val="yellow"/>
              </w:rPr>
              <w:t>.2</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 xml:space="preserve">руб./кВт·ч   </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r w:rsidR="00CD61EA" w:rsidRPr="00386300" w:rsidTr="0006240E">
        <w:trPr>
          <w:cantSplit/>
          <w:trHeight w:val="238"/>
        </w:trPr>
        <w:tc>
          <w:tcPr>
            <w:tcW w:w="680"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lang w:val="en-US"/>
              </w:rPr>
            </w:pPr>
            <w:r w:rsidRPr="00386300">
              <w:rPr>
                <w:rFonts w:ascii="Times New Roman" w:hAnsi="Times New Roman" w:cs="Times New Roman"/>
                <w:highlight w:val="yellow"/>
                <w:lang w:val="en-US"/>
              </w:rPr>
              <w:t>1</w:t>
            </w:r>
            <w:r w:rsidRPr="00386300">
              <w:rPr>
                <w:rFonts w:ascii="Times New Roman" w:hAnsi="Times New Roman" w:cs="Times New Roman"/>
                <w:highlight w:val="yellow"/>
              </w:rPr>
              <w:t>1</w:t>
            </w:r>
            <w:r w:rsidRPr="00386300">
              <w:rPr>
                <w:rFonts w:ascii="Times New Roman" w:hAnsi="Times New Roman" w:cs="Times New Roman"/>
                <w:highlight w:val="yellow"/>
                <w:lang w:val="en-US"/>
              </w:rPr>
              <w:t>.4</w:t>
            </w:r>
          </w:p>
        </w:tc>
        <w:tc>
          <w:tcPr>
            <w:tcW w:w="2219"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D61EA" w:rsidRPr="00386300" w:rsidRDefault="00CD61EA" w:rsidP="00AB63C8">
            <w:pPr>
              <w:pStyle w:val="ConsPlusCell"/>
              <w:widowControl/>
              <w:rPr>
                <w:rFonts w:ascii="Times New Roman" w:hAnsi="Times New Roman" w:cs="Times New Roman"/>
                <w:highlight w:val="yellow"/>
              </w:rPr>
            </w:pPr>
            <w:r w:rsidRPr="00386300">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708" w:type="dxa"/>
            <w:tcBorders>
              <w:top w:val="single" w:sz="6" w:space="0" w:color="auto"/>
              <w:left w:val="single" w:sz="6"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c>
          <w:tcPr>
            <w:tcW w:w="851" w:type="dxa"/>
            <w:tcBorders>
              <w:top w:val="single" w:sz="6" w:space="0" w:color="auto"/>
              <w:left w:val="single" w:sz="4" w:space="0" w:color="auto"/>
              <w:bottom w:val="single" w:sz="6" w:space="0" w:color="auto"/>
              <w:right w:val="single" w:sz="4" w:space="0" w:color="auto"/>
            </w:tcBorders>
            <w:vAlign w:val="center"/>
          </w:tcPr>
          <w:p w:rsidR="00CD61EA" w:rsidRPr="00386300" w:rsidRDefault="00CD61EA" w:rsidP="00AB63C8">
            <w:pPr>
              <w:pStyle w:val="ConsPlusCell"/>
              <w:widowControl/>
              <w:jc w:val="right"/>
              <w:rPr>
                <w:rFonts w:ascii="Times New Roman" w:hAnsi="Times New Roman" w:cs="Times New Roman"/>
                <w:highlight w:val="yellow"/>
                <w:lang w:val="en-US"/>
              </w:rPr>
            </w:pPr>
          </w:p>
        </w:tc>
      </w:tr>
    </w:tbl>
    <w:p w:rsidR="00CD61EA" w:rsidRPr="00386300" w:rsidRDefault="00CD61EA" w:rsidP="00CD61EA">
      <w:pPr>
        <w:tabs>
          <w:tab w:val="left" w:pos="525"/>
          <w:tab w:val="right" w:pos="9355"/>
        </w:tabs>
        <w:ind w:firstLine="709"/>
        <w:jc w:val="both"/>
        <w:rPr>
          <w:sz w:val="20"/>
          <w:szCs w:val="20"/>
          <w:highlight w:val="yellow"/>
        </w:rPr>
      </w:pPr>
      <w:r w:rsidRPr="00386300">
        <w:rPr>
          <w:bCs/>
          <w:sz w:val="20"/>
          <w:szCs w:val="20"/>
          <w:highlight w:val="yellow"/>
        </w:rPr>
        <w:t xml:space="preserve">Примечание: </w:t>
      </w:r>
    </w:p>
    <w:p w:rsidR="00CD61EA" w:rsidRPr="00386300" w:rsidRDefault="00CD61EA" w:rsidP="00CD61EA">
      <w:pPr>
        <w:ind w:firstLine="567"/>
        <w:jc w:val="both"/>
        <w:rPr>
          <w:sz w:val="18"/>
          <w:szCs w:val="18"/>
          <w:highlight w:val="yellow"/>
        </w:rPr>
      </w:pPr>
      <w:r w:rsidRPr="00386300">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CD61EA" w:rsidRPr="00386300" w:rsidRDefault="00CD61EA" w:rsidP="00CD61EA">
      <w:pPr>
        <w:ind w:right="-284" w:firstLine="567"/>
        <w:jc w:val="both"/>
        <w:rPr>
          <w:sz w:val="18"/>
          <w:szCs w:val="18"/>
          <w:highlight w:val="yellow"/>
        </w:rPr>
      </w:pPr>
      <w:r w:rsidRPr="00386300">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491FED" w:rsidRPr="00386300" w:rsidRDefault="00491FED" w:rsidP="00491FED">
      <w:pPr>
        <w:ind w:firstLine="567"/>
        <w:jc w:val="both"/>
        <w:rPr>
          <w:rFonts w:eastAsia="Calibri"/>
          <w:sz w:val="18"/>
          <w:szCs w:val="18"/>
          <w:highlight w:val="yellow"/>
          <w:lang w:eastAsia="en-US"/>
        </w:rPr>
      </w:pPr>
      <w:r w:rsidRPr="00386300">
        <w:rPr>
          <w:rFonts w:eastAsia="Calibri"/>
          <w:sz w:val="18"/>
          <w:szCs w:val="18"/>
          <w:highlight w:val="yellow"/>
          <w:lang w:eastAsia="en-US"/>
        </w:rPr>
        <w:t>&lt;3&gt; Величина необходимой валовой выручки гарантирующего поставщика от реализации электрической энергии (мощности) покупателям розничного рынка на 2022 год – 102 626 тыс. руб.</w:t>
      </w:r>
    </w:p>
    <w:p w:rsidR="00491FED" w:rsidRDefault="00491FED" w:rsidP="00491FED">
      <w:pPr>
        <w:ind w:firstLine="567"/>
        <w:jc w:val="both"/>
        <w:rPr>
          <w:rFonts w:eastAsia="Calibri"/>
          <w:sz w:val="18"/>
          <w:szCs w:val="18"/>
          <w:lang w:eastAsia="en-US"/>
        </w:rPr>
      </w:pPr>
      <w:r w:rsidRPr="00386300">
        <w:rPr>
          <w:rFonts w:eastAsia="Calibri"/>
          <w:sz w:val="18"/>
          <w:szCs w:val="18"/>
          <w:highlight w:val="yellow"/>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2022 год – 70 726 тыс. руб.</w:t>
      </w:r>
      <w:bookmarkStart w:id="0" w:name="_GoBack"/>
      <w:bookmarkEnd w:id="0"/>
    </w:p>
    <w:p w:rsidR="00491FED" w:rsidRDefault="00491FED" w:rsidP="00CD61EA">
      <w:pPr>
        <w:ind w:right="-284" w:firstLine="567"/>
        <w:jc w:val="both"/>
        <w:rPr>
          <w:sz w:val="18"/>
          <w:szCs w:val="18"/>
        </w:rPr>
      </w:pPr>
    </w:p>
    <w:sectPr w:rsidR="00491FED"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D4" w:rsidRDefault="004F58D4" w:rsidP="00342D13">
      <w:r>
        <w:separator/>
      </w:r>
    </w:p>
  </w:endnote>
  <w:endnote w:type="continuationSeparator" w:id="0">
    <w:p w:rsidR="004F58D4" w:rsidRDefault="004F58D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D4" w:rsidRDefault="004F58D4" w:rsidP="00342D13">
      <w:r>
        <w:separator/>
      </w:r>
    </w:p>
  </w:footnote>
  <w:footnote w:type="continuationSeparator" w:id="0">
    <w:p w:rsidR="004F58D4" w:rsidRDefault="004F58D4"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4C3029"/>
    <w:multiLevelType w:val="hybridMultilevel"/>
    <w:tmpl w:val="B05AF4DA"/>
    <w:lvl w:ilvl="0" w:tplc="D116C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8124F8"/>
    <w:multiLevelType w:val="hybridMultilevel"/>
    <w:tmpl w:val="8D7085F8"/>
    <w:lvl w:ilvl="0" w:tplc="A920B7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3D50F0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C9691F"/>
    <w:multiLevelType w:val="hybridMultilevel"/>
    <w:tmpl w:val="AF387560"/>
    <w:lvl w:ilvl="0" w:tplc="264E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2A742C"/>
    <w:multiLevelType w:val="hybridMultilevel"/>
    <w:tmpl w:val="B16E36D8"/>
    <w:lvl w:ilvl="0" w:tplc="350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AF454D"/>
    <w:multiLevelType w:val="hybridMultilevel"/>
    <w:tmpl w:val="D0F4A63C"/>
    <w:lvl w:ilvl="0" w:tplc="6478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9"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23" w15:restartNumberingAfterBreak="0">
    <w:nsid w:val="39524769"/>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3A004217"/>
    <w:multiLevelType w:val="hybridMultilevel"/>
    <w:tmpl w:val="DA709D52"/>
    <w:lvl w:ilvl="0" w:tplc="D4F2F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16C06CB"/>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15:restartNumberingAfterBreak="0">
    <w:nsid w:val="47827DB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92934"/>
    <w:multiLevelType w:val="hybridMultilevel"/>
    <w:tmpl w:val="5878718C"/>
    <w:lvl w:ilvl="0" w:tplc="6CFA2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32D0C46"/>
    <w:multiLevelType w:val="hybridMultilevel"/>
    <w:tmpl w:val="581ED95E"/>
    <w:lvl w:ilvl="0" w:tplc="D04C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06532EC"/>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41"/>
  </w:num>
  <w:num w:numId="3">
    <w:abstractNumId w:val="47"/>
  </w:num>
  <w:num w:numId="4">
    <w:abstractNumId w:val="46"/>
  </w:num>
  <w:num w:numId="5">
    <w:abstractNumId w:val="0"/>
  </w:num>
  <w:num w:numId="6">
    <w:abstractNumId w:val="18"/>
  </w:num>
  <w:num w:numId="7">
    <w:abstractNumId w:val="1"/>
  </w:num>
  <w:num w:numId="8">
    <w:abstractNumId w:val="13"/>
  </w:num>
  <w:num w:numId="9">
    <w:abstractNumId w:val="36"/>
  </w:num>
  <w:num w:numId="10">
    <w:abstractNumId w:val="6"/>
  </w:num>
  <w:num w:numId="11">
    <w:abstractNumId w:val="37"/>
  </w:num>
  <w:num w:numId="12">
    <w:abstractNumId w:val="21"/>
  </w:num>
  <w:num w:numId="13">
    <w:abstractNumId w:val="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7"/>
  </w:num>
  <w:num w:numId="18">
    <w:abstractNumId w:val="45"/>
  </w:num>
  <w:num w:numId="19">
    <w:abstractNumId w:val="44"/>
  </w:num>
  <w:num w:numId="20">
    <w:abstractNumId w:val="12"/>
  </w:num>
  <w:num w:numId="21">
    <w:abstractNumId w:val="5"/>
  </w:num>
  <w:num w:numId="22">
    <w:abstractNumId w:val="22"/>
  </w:num>
  <w:num w:numId="23">
    <w:abstractNumId w:val="27"/>
  </w:num>
  <w:num w:numId="24">
    <w:abstractNumId w:val="14"/>
  </w:num>
  <w:num w:numId="25">
    <w:abstractNumId w:val="30"/>
  </w:num>
  <w:num w:numId="26">
    <w:abstractNumId w:val="19"/>
  </w:num>
  <w:num w:numId="27">
    <w:abstractNumId w:val="43"/>
  </w:num>
  <w:num w:numId="28">
    <w:abstractNumId w:val="32"/>
  </w:num>
  <w:num w:numId="29">
    <w:abstractNumId w:val="24"/>
  </w:num>
  <w:num w:numId="30">
    <w:abstractNumId w:val="40"/>
  </w:num>
  <w:num w:numId="31">
    <w:abstractNumId w:val="2"/>
  </w:num>
  <w:num w:numId="32">
    <w:abstractNumId w:val="33"/>
  </w:num>
  <w:num w:numId="33">
    <w:abstractNumId w:val="20"/>
  </w:num>
  <w:num w:numId="34">
    <w:abstractNumId w:val="10"/>
  </w:num>
  <w:num w:numId="35">
    <w:abstractNumId w:val="35"/>
  </w:num>
  <w:num w:numId="36">
    <w:abstractNumId w:val="39"/>
  </w:num>
  <w:num w:numId="37">
    <w:abstractNumId w:val="17"/>
  </w:num>
  <w:num w:numId="38">
    <w:abstractNumId w:val="34"/>
  </w:num>
  <w:num w:numId="39">
    <w:abstractNumId w:val="16"/>
  </w:num>
  <w:num w:numId="40">
    <w:abstractNumId w:val="23"/>
  </w:num>
  <w:num w:numId="41">
    <w:abstractNumId w:val="28"/>
  </w:num>
  <w:num w:numId="42">
    <w:abstractNumId w:val="26"/>
  </w:num>
  <w:num w:numId="43">
    <w:abstractNumId w:val="3"/>
  </w:num>
  <w:num w:numId="44">
    <w:abstractNumId w:val="25"/>
  </w:num>
  <w:num w:numId="45">
    <w:abstractNumId w:val="42"/>
  </w:num>
  <w:num w:numId="46">
    <w:abstractNumId w:val="8"/>
  </w:num>
  <w:num w:numId="47">
    <w:abstractNumId w:val="15"/>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3822"/>
    <w:rsid w:val="000545B3"/>
    <w:rsid w:val="0006240E"/>
    <w:rsid w:val="000766AD"/>
    <w:rsid w:val="000811A9"/>
    <w:rsid w:val="000846DE"/>
    <w:rsid w:val="00092A7E"/>
    <w:rsid w:val="000C0ABF"/>
    <w:rsid w:val="000C1841"/>
    <w:rsid w:val="000C6954"/>
    <w:rsid w:val="00101844"/>
    <w:rsid w:val="0010596D"/>
    <w:rsid w:val="001225CB"/>
    <w:rsid w:val="001723D0"/>
    <w:rsid w:val="001736B4"/>
    <w:rsid w:val="00177142"/>
    <w:rsid w:val="00184C6B"/>
    <w:rsid w:val="00191854"/>
    <w:rsid w:val="00196836"/>
    <w:rsid w:val="001B4705"/>
    <w:rsid w:val="001B5371"/>
    <w:rsid w:val="001D7740"/>
    <w:rsid w:val="001E0B39"/>
    <w:rsid w:val="001E32C7"/>
    <w:rsid w:val="001E62AB"/>
    <w:rsid w:val="001E6FE1"/>
    <w:rsid w:val="001F4618"/>
    <w:rsid w:val="00200564"/>
    <w:rsid w:val="00223D68"/>
    <w:rsid w:val="0023004D"/>
    <w:rsid w:val="00230F4D"/>
    <w:rsid w:val="00232A85"/>
    <w:rsid w:val="00260634"/>
    <w:rsid w:val="002722F0"/>
    <w:rsid w:val="00291122"/>
    <w:rsid w:val="00296585"/>
    <w:rsid w:val="002A71B0"/>
    <w:rsid w:val="002A7650"/>
    <w:rsid w:val="002B334D"/>
    <w:rsid w:val="002C0338"/>
    <w:rsid w:val="002D43BE"/>
    <w:rsid w:val="002F20DE"/>
    <w:rsid w:val="00313BE3"/>
    <w:rsid w:val="00321E7D"/>
    <w:rsid w:val="00342D13"/>
    <w:rsid w:val="00362299"/>
    <w:rsid w:val="00375E75"/>
    <w:rsid w:val="003832CF"/>
    <w:rsid w:val="00386300"/>
    <w:rsid w:val="003926A3"/>
    <w:rsid w:val="0039766E"/>
    <w:rsid w:val="003A5BEF"/>
    <w:rsid w:val="003A7F52"/>
    <w:rsid w:val="003B12BF"/>
    <w:rsid w:val="003B292E"/>
    <w:rsid w:val="003B4742"/>
    <w:rsid w:val="003C2A43"/>
    <w:rsid w:val="003D6F0D"/>
    <w:rsid w:val="003E38BA"/>
    <w:rsid w:val="00441A91"/>
    <w:rsid w:val="0044342A"/>
    <w:rsid w:val="00460247"/>
    <w:rsid w:val="0046790E"/>
    <w:rsid w:val="0048068C"/>
    <w:rsid w:val="00482409"/>
    <w:rsid w:val="0048261B"/>
    <w:rsid w:val="00491FED"/>
    <w:rsid w:val="004D492F"/>
    <w:rsid w:val="004D79DB"/>
    <w:rsid w:val="004F0472"/>
    <w:rsid w:val="004F58D4"/>
    <w:rsid w:val="005012D2"/>
    <w:rsid w:val="00511A74"/>
    <w:rsid w:val="00512C6C"/>
    <w:rsid w:val="0054446A"/>
    <w:rsid w:val="005709CE"/>
    <w:rsid w:val="00586E9A"/>
    <w:rsid w:val="005A3082"/>
    <w:rsid w:val="005E22DD"/>
    <w:rsid w:val="005E7797"/>
    <w:rsid w:val="005F0B57"/>
    <w:rsid w:val="005F2BC6"/>
    <w:rsid w:val="005F6F45"/>
    <w:rsid w:val="005F7F0E"/>
    <w:rsid w:val="006317BF"/>
    <w:rsid w:val="006563C6"/>
    <w:rsid w:val="006604E4"/>
    <w:rsid w:val="006650EC"/>
    <w:rsid w:val="00681B38"/>
    <w:rsid w:val="006979FB"/>
    <w:rsid w:val="006A5AB2"/>
    <w:rsid w:val="006C69E3"/>
    <w:rsid w:val="006D30B3"/>
    <w:rsid w:val="006D4BF2"/>
    <w:rsid w:val="006E4B23"/>
    <w:rsid w:val="007120E9"/>
    <w:rsid w:val="00714033"/>
    <w:rsid w:val="0072115F"/>
    <w:rsid w:val="00723550"/>
    <w:rsid w:val="00733DC4"/>
    <w:rsid w:val="00747197"/>
    <w:rsid w:val="00760202"/>
    <w:rsid w:val="007872B9"/>
    <w:rsid w:val="00793645"/>
    <w:rsid w:val="007A0644"/>
    <w:rsid w:val="007A764E"/>
    <w:rsid w:val="007C437C"/>
    <w:rsid w:val="007C6DC9"/>
    <w:rsid w:val="007E17B7"/>
    <w:rsid w:val="007F3290"/>
    <w:rsid w:val="007F49CA"/>
    <w:rsid w:val="00815D96"/>
    <w:rsid w:val="00823DFD"/>
    <w:rsid w:val="0083039A"/>
    <w:rsid w:val="00832E23"/>
    <w:rsid w:val="008434A6"/>
    <w:rsid w:val="00856C9C"/>
    <w:rsid w:val="00863EEF"/>
    <w:rsid w:val="008711C2"/>
    <w:rsid w:val="00882923"/>
    <w:rsid w:val="008B7954"/>
    <w:rsid w:val="008C7217"/>
    <w:rsid w:val="008D13CF"/>
    <w:rsid w:val="008E624B"/>
    <w:rsid w:val="008F114E"/>
    <w:rsid w:val="008F586A"/>
    <w:rsid w:val="00905B59"/>
    <w:rsid w:val="009244DB"/>
    <w:rsid w:val="00941118"/>
    <w:rsid w:val="00941FB5"/>
    <w:rsid w:val="00946491"/>
    <w:rsid w:val="00955A68"/>
    <w:rsid w:val="009607C0"/>
    <w:rsid w:val="00962FF6"/>
    <w:rsid w:val="00970B2B"/>
    <w:rsid w:val="009A5446"/>
    <w:rsid w:val="009B185D"/>
    <w:rsid w:val="009B1C1D"/>
    <w:rsid w:val="009B6B79"/>
    <w:rsid w:val="009D27F0"/>
    <w:rsid w:val="009E0C88"/>
    <w:rsid w:val="009E4D5E"/>
    <w:rsid w:val="009E5EC5"/>
    <w:rsid w:val="009F2212"/>
    <w:rsid w:val="009F452F"/>
    <w:rsid w:val="00A1348C"/>
    <w:rsid w:val="00A16406"/>
    <w:rsid w:val="00A253A7"/>
    <w:rsid w:val="00A3552B"/>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07FDB"/>
    <w:rsid w:val="00B12DD0"/>
    <w:rsid w:val="00B16CA8"/>
    <w:rsid w:val="00B219C6"/>
    <w:rsid w:val="00B440AB"/>
    <w:rsid w:val="00B46DE6"/>
    <w:rsid w:val="00B524A1"/>
    <w:rsid w:val="00B539F9"/>
    <w:rsid w:val="00B540BB"/>
    <w:rsid w:val="00B60245"/>
    <w:rsid w:val="00B74965"/>
    <w:rsid w:val="00B855C0"/>
    <w:rsid w:val="00B87853"/>
    <w:rsid w:val="00BA2CFB"/>
    <w:rsid w:val="00BA2D9F"/>
    <w:rsid w:val="00BB045F"/>
    <w:rsid w:val="00BC6EAB"/>
    <w:rsid w:val="00BD3083"/>
    <w:rsid w:val="00BF3927"/>
    <w:rsid w:val="00BF5293"/>
    <w:rsid w:val="00C00871"/>
    <w:rsid w:val="00C15E14"/>
    <w:rsid w:val="00C5577A"/>
    <w:rsid w:val="00C62544"/>
    <w:rsid w:val="00C71869"/>
    <w:rsid w:val="00C742A6"/>
    <w:rsid w:val="00C7463E"/>
    <w:rsid w:val="00C82E2A"/>
    <w:rsid w:val="00C87DDD"/>
    <w:rsid w:val="00C93614"/>
    <w:rsid w:val="00C942BC"/>
    <w:rsid w:val="00C966C3"/>
    <w:rsid w:val="00CA1D78"/>
    <w:rsid w:val="00CA2E6F"/>
    <w:rsid w:val="00CB67A4"/>
    <w:rsid w:val="00CD32E8"/>
    <w:rsid w:val="00CD4A09"/>
    <w:rsid w:val="00CD61EA"/>
    <w:rsid w:val="00CE3BBE"/>
    <w:rsid w:val="00CE5360"/>
    <w:rsid w:val="00CF2125"/>
    <w:rsid w:val="00D04C82"/>
    <w:rsid w:val="00D2259E"/>
    <w:rsid w:val="00D23436"/>
    <w:rsid w:val="00D4226E"/>
    <w:rsid w:val="00D605CF"/>
    <w:rsid w:val="00D665D8"/>
    <w:rsid w:val="00D840CE"/>
    <w:rsid w:val="00D871DE"/>
    <w:rsid w:val="00D91591"/>
    <w:rsid w:val="00DA3A2D"/>
    <w:rsid w:val="00DC1265"/>
    <w:rsid w:val="00DC17A4"/>
    <w:rsid w:val="00DC34F7"/>
    <w:rsid w:val="00DD2E54"/>
    <w:rsid w:val="00DD3F53"/>
    <w:rsid w:val="00DD5601"/>
    <w:rsid w:val="00E0636D"/>
    <w:rsid w:val="00E24ECE"/>
    <w:rsid w:val="00E34935"/>
    <w:rsid w:val="00E3601E"/>
    <w:rsid w:val="00E371B1"/>
    <w:rsid w:val="00E40D54"/>
    <w:rsid w:val="00E43D52"/>
    <w:rsid w:val="00E50355"/>
    <w:rsid w:val="00E704ED"/>
    <w:rsid w:val="00E872A5"/>
    <w:rsid w:val="00E94805"/>
    <w:rsid w:val="00EB2C07"/>
    <w:rsid w:val="00EB3439"/>
    <w:rsid w:val="00EE0DFD"/>
    <w:rsid w:val="00EE60C2"/>
    <w:rsid w:val="00EE6F1E"/>
    <w:rsid w:val="00F35D89"/>
    <w:rsid w:val="00F44B0A"/>
    <w:rsid w:val="00F73B10"/>
    <w:rsid w:val="00F74A59"/>
    <w:rsid w:val="00FA06A4"/>
    <w:rsid w:val="00FA11B3"/>
    <w:rsid w:val="00FB6E5E"/>
    <w:rsid w:val="00FC4D28"/>
    <w:rsid w:val="00FC6AB9"/>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EA879"/>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CD61EA"/>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qFormat/>
    <w:rsid w:val="00586E9A"/>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uiPriority w:val="99"/>
    <w:rsid w:val="00342D13"/>
    <w:rPr>
      <w:sz w:val="20"/>
      <w:szCs w:val="20"/>
    </w:rPr>
  </w:style>
  <w:style w:type="character" w:customStyle="1" w:styleId="aa">
    <w:name w:val="Текст концевой сноски Знак"/>
    <w:basedOn w:val="a0"/>
    <w:link w:val="a9"/>
    <w:uiPriority w:val="99"/>
    <w:rsid w:val="00342D13"/>
  </w:style>
  <w:style w:type="character" w:styleId="ab">
    <w:name w:val="endnote reference"/>
    <w:uiPriority w:val="99"/>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customStyle="1" w:styleId="ad">
    <w:name w:val="Основной текст Знак"/>
    <w:link w:val="ae"/>
    <w:rsid w:val="00C742A6"/>
    <w:rPr>
      <w:b/>
      <w:bCs/>
      <w:sz w:val="28"/>
      <w:szCs w:val="24"/>
    </w:rPr>
  </w:style>
  <w:style w:type="paragraph" w:styleId="ae">
    <w:name w:val="Body Text"/>
    <w:basedOn w:val="a"/>
    <w:link w:val="ad"/>
    <w:rsid w:val="00C742A6"/>
    <w:pPr>
      <w:jc w:val="both"/>
    </w:pPr>
    <w:rPr>
      <w:b/>
      <w:bCs/>
    </w:rPr>
  </w:style>
  <w:style w:type="character" w:customStyle="1" w:styleId="11">
    <w:name w:val="Основной текст Знак1"/>
    <w:basedOn w:val="a0"/>
    <w:rsid w:val="00C742A6"/>
    <w:rPr>
      <w:sz w:val="28"/>
      <w:szCs w:val="24"/>
    </w:rPr>
  </w:style>
  <w:style w:type="paragraph" w:customStyle="1" w:styleId="af">
    <w:name w:val="Нормальный (таблица)"/>
    <w:basedOn w:val="a"/>
    <w:next w:val="a"/>
    <w:uiPriority w:val="99"/>
    <w:rsid w:val="00C742A6"/>
    <w:pPr>
      <w:widowControl w:val="0"/>
      <w:autoSpaceDE w:val="0"/>
      <w:autoSpaceDN w:val="0"/>
      <w:adjustRightInd w:val="0"/>
      <w:jc w:val="both"/>
    </w:pPr>
    <w:rPr>
      <w:rFonts w:ascii="Arial" w:hAnsi="Arial" w:cs="Arial"/>
      <w:sz w:val="24"/>
    </w:rPr>
  </w:style>
  <w:style w:type="paragraph" w:customStyle="1" w:styleId="ConsPlusCell">
    <w:name w:val="ConsPlusCell"/>
    <w:rsid w:val="00DC17A4"/>
    <w:pPr>
      <w:widowControl w:val="0"/>
      <w:autoSpaceDE w:val="0"/>
      <w:autoSpaceDN w:val="0"/>
      <w:adjustRightInd w:val="0"/>
    </w:pPr>
    <w:rPr>
      <w:rFonts w:ascii="Calibri" w:hAnsi="Calibri" w:cs="Calibri"/>
      <w:sz w:val="22"/>
      <w:szCs w:val="22"/>
    </w:rPr>
  </w:style>
  <w:style w:type="paragraph" w:styleId="31">
    <w:name w:val="Body Text 3"/>
    <w:basedOn w:val="a"/>
    <w:link w:val="32"/>
    <w:rsid w:val="001F4618"/>
    <w:pPr>
      <w:spacing w:after="120"/>
    </w:pPr>
    <w:rPr>
      <w:sz w:val="16"/>
      <w:szCs w:val="16"/>
    </w:rPr>
  </w:style>
  <w:style w:type="character" w:customStyle="1" w:styleId="32">
    <w:name w:val="Основной текст 3 Знак"/>
    <w:basedOn w:val="a0"/>
    <w:link w:val="31"/>
    <w:rsid w:val="001F4618"/>
    <w:rPr>
      <w:sz w:val="16"/>
      <w:szCs w:val="16"/>
    </w:rPr>
  </w:style>
  <w:style w:type="character" w:customStyle="1" w:styleId="30">
    <w:name w:val="Заголовок 3 Знак"/>
    <w:basedOn w:val="a0"/>
    <w:link w:val="3"/>
    <w:rsid w:val="00586E9A"/>
    <w:rPr>
      <w:rFonts w:ascii="Arial" w:hAnsi="Arial"/>
      <w:b/>
      <w:bCs/>
      <w:sz w:val="26"/>
      <w:szCs w:val="26"/>
      <w:lang w:val="x-none"/>
    </w:rPr>
  </w:style>
  <w:style w:type="character" w:customStyle="1" w:styleId="10">
    <w:name w:val="Заголовок 1 Знак"/>
    <w:basedOn w:val="a0"/>
    <w:link w:val="1"/>
    <w:rsid w:val="00CD61EA"/>
    <w:rPr>
      <w:rFonts w:ascii="Arial" w:hAnsi="Arial"/>
      <w:b/>
      <w:bCs/>
      <w:color w:val="000080"/>
      <w:lang w:val="x-none"/>
    </w:rPr>
  </w:style>
  <w:style w:type="character" w:customStyle="1" w:styleId="a6">
    <w:name w:val="Текст выноски Знак"/>
    <w:link w:val="a5"/>
    <w:uiPriority w:val="99"/>
    <w:rsid w:val="00CD61EA"/>
    <w:rPr>
      <w:rFonts w:ascii="Tahoma" w:hAnsi="Tahoma" w:cs="Tahoma"/>
      <w:sz w:val="16"/>
      <w:szCs w:val="16"/>
    </w:rPr>
  </w:style>
  <w:style w:type="paragraph" w:styleId="af0">
    <w:name w:val="List Paragraph"/>
    <w:basedOn w:val="a"/>
    <w:uiPriority w:val="34"/>
    <w:qFormat/>
    <w:rsid w:val="00CD61EA"/>
    <w:pPr>
      <w:ind w:left="720"/>
      <w:contextualSpacing/>
    </w:pPr>
  </w:style>
  <w:style w:type="paragraph" w:styleId="af1">
    <w:name w:val="Body Text Indent"/>
    <w:basedOn w:val="a"/>
    <w:link w:val="af2"/>
    <w:rsid w:val="00CD61EA"/>
    <w:pPr>
      <w:spacing w:after="120"/>
      <w:ind w:left="283"/>
    </w:pPr>
    <w:rPr>
      <w:sz w:val="24"/>
      <w:lang w:val="x-none"/>
    </w:rPr>
  </w:style>
  <w:style w:type="character" w:customStyle="1" w:styleId="af2">
    <w:name w:val="Основной текст с отступом Знак"/>
    <w:basedOn w:val="a0"/>
    <w:link w:val="af1"/>
    <w:rsid w:val="00CD61EA"/>
    <w:rPr>
      <w:sz w:val="24"/>
      <w:szCs w:val="24"/>
      <w:lang w:val="x-none"/>
    </w:rPr>
  </w:style>
  <w:style w:type="paragraph" w:customStyle="1" w:styleId="12">
    <w:name w:val="Знак1 Знак Знак Знак"/>
    <w:basedOn w:val="a"/>
    <w:rsid w:val="00CD61EA"/>
    <w:pPr>
      <w:spacing w:after="160" w:line="240" w:lineRule="exact"/>
    </w:pPr>
    <w:rPr>
      <w:rFonts w:ascii="Verdana" w:hAnsi="Verdana"/>
      <w:sz w:val="20"/>
      <w:szCs w:val="20"/>
      <w:lang w:val="en-US" w:eastAsia="en-US"/>
    </w:rPr>
  </w:style>
  <w:style w:type="paragraph" w:customStyle="1" w:styleId="Style6">
    <w:name w:val="Style6"/>
    <w:basedOn w:val="a"/>
    <w:uiPriority w:val="99"/>
    <w:rsid w:val="00CD61EA"/>
    <w:pPr>
      <w:widowControl w:val="0"/>
      <w:autoSpaceDE w:val="0"/>
      <w:autoSpaceDN w:val="0"/>
      <w:adjustRightInd w:val="0"/>
      <w:spacing w:line="310" w:lineRule="exact"/>
      <w:jc w:val="center"/>
    </w:pPr>
    <w:rPr>
      <w:sz w:val="24"/>
    </w:rPr>
  </w:style>
  <w:style w:type="character" w:customStyle="1" w:styleId="FontStyle26">
    <w:name w:val="Font Style26"/>
    <w:uiPriority w:val="99"/>
    <w:rsid w:val="00CD61EA"/>
    <w:rPr>
      <w:rFonts w:ascii="Times New Roman" w:hAnsi="Times New Roman" w:cs="Times New Roman"/>
      <w:b/>
      <w:bCs/>
      <w:sz w:val="26"/>
      <w:szCs w:val="26"/>
    </w:rPr>
  </w:style>
  <w:style w:type="character" w:customStyle="1" w:styleId="FontStyle27">
    <w:name w:val="Font Style27"/>
    <w:uiPriority w:val="99"/>
    <w:rsid w:val="00CD61EA"/>
    <w:rPr>
      <w:rFonts w:ascii="Times New Roman" w:hAnsi="Times New Roman" w:cs="Times New Roman"/>
      <w:b/>
      <w:bCs/>
      <w:smallCaps/>
      <w:sz w:val="26"/>
      <w:szCs w:val="26"/>
    </w:rPr>
  </w:style>
  <w:style w:type="paragraph" w:customStyle="1" w:styleId="Style1">
    <w:name w:val="Style1"/>
    <w:basedOn w:val="a"/>
    <w:uiPriority w:val="99"/>
    <w:rsid w:val="00CD61EA"/>
    <w:pPr>
      <w:widowControl w:val="0"/>
      <w:autoSpaceDE w:val="0"/>
      <w:autoSpaceDN w:val="0"/>
      <w:adjustRightInd w:val="0"/>
    </w:pPr>
    <w:rPr>
      <w:sz w:val="24"/>
    </w:rPr>
  </w:style>
  <w:style w:type="paragraph" w:customStyle="1" w:styleId="Style2">
    <w:name w:val="Style2"/>
    <w:basedOn w:val="a"/>
    <w:uiPriority w:val="99"/>
    <w:rsid w:val="00CD61EA"/>
    <w:pPr>
      <w:widowControl w:val="0"/>
      <w:autoSpaceDE w:val="0"/>
      <w:autoSpaceDN w:val="0"/>
      <w:adjustRightInd w:val="0"/>
    </w:pPr>
    <w:rPr>
      <w:sz w:val="24"/>
    </w:rPr>
  </w:style>
  <w:style w:type="paragraph" w:customStyle="1" w:styleId="Style3">
    <w:name w:val="Style3"/>
    <w:basedOn w:val="a"/>
    <w:uiPriority w:val="99"/>
    <w:rsid w:val="00CD61EA"/>
    <w:pPr>
      <w:widowControl w:val="0"/>
      <w:autoSpaceDE w:val="0"/>
      <w:autoSpaceDN w:val="0"/>
      <w:adjustRightInd w:val="0"/>
      <w:jc w:val="both"/>
    </w:pPr>
    <w:rPr>
      <w:sz w:val="24"/>
    </w:rPr>
  </w:style>
  <w:style w:type="paragraph" w:customStyle="1" w:styleId="Style4">
    <w:name w:val="Style4"/>
    <w:basedOn w:val="a"/>
    <w:uiPriority w:val="99"/>
    <w:rsid w:val="00CD61EA"/>
    <w:pPr>
      <w:widowControl w:val="0"/>
      <w:autoSpaceDE w:val="0"/>
      <w:autoSpaceDN w:val="0"/>
      <w:adjustRightInd w:val="0"/>
    </w:pPr>
    <w:rPr>
      <w:sz w:val="24"/>
    </w:rPr>
  </w:style>
  <w:style w:type="paragraph" w:customStyle="1" w:styleId="Style5">
    <w:name w:val="Style5"/>
    <w:basedOn w:val="a"/>
    <w:uiPriority w:val="99"/>
    <w:rsid w:val="00CD61EA"/>
    <w:pPr>
      <w:widowControl w:val="0"/>
      <w:autoSpaceDE w:val="0"/>
      <w:autoSpaceDN w:val="0"/>
      <w:adjustRightInd w:val="0"/>
    </w:pPr>
    <w:rPr>
      <w:sz w:val="24"/>
    </w:rPr>
  </w:style>
  <w:style w:type="paragraph" w:customStyle="1" w:styleId="Style7">
    <w:name w:val="Style7"/>
    <w:basedOn w:val="a"/>
    <w:uiPriority w:val="99"/>
    <w:rsid w:val="00CD61EA"/>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CD61EA"/>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CD61EA"/>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CD61EA"/>
    <w:pPr>
      <w:widowControl w:val="0"/>
      <w:autoSpaceDE w:val="0"/>
      <w:autoSpaceDN w:val="0"/>
      <w:adjustRightInd w:val="0"/>
    </w:pPr>
    <w:rPr>
      <w:sz w:val="24"/>
    </w:rPr>
  </w:style>
  <w:style w:type="paragraph" w:customStyle="1" w:styleId="Style11">
    <w:name w:val="Style11"/>
    <w:basedOn w:val="a"/>
    <w:uiPriority w:val="99"/>
    <w:rsid w:val="00CD61EA"/>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CD61EA"/>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CD61EA"/>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CD61EA"/>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CD61EA"/>
    <w:pPr>
      <w:widowControl w:val="0"/>
      <w:autoSpaceDE w:val="0"/>
      <w:autoSpaceDN w:val="0"/>
      <w:adjustRightInd w:val="0"/>
    </w:pPr>
    <w:rPr>
      <w:sz w:val="24"/>
    </w:rPr>
  </w:style>
  <w:style w:type="paragraph" w:customStyle="1" w:styleId="Style22">
    <w:name w:val="Style22"/>
    <w:basedOn w:val="a"/>
    <w:uiPriority w:val="99"/>
    <w:rsid w:val="00CD61EA"/>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CD61EA"/>
    <w:rPr>
      <w:rFonts w:ascii="Times New Roman" w:hAnsi="Times New Roman" w:cs="Times New Roman"/>
      <w:sz w:val="26"/>
      <w:szCs w:val="26"/>
    </w:rPr>
  </w:style>
  <w:style w:type="character" w:customStyle="1" w:styleId="FontStyle30">
    <w:name w:val="Font Style30"/>
    <w:uiPriority w:val="99"/>
    <w:rsid w:val="00CD61EA"/>
    <w:rPr>
      <w:rFonts w:ascii="Times New Roman" w:hAnsi="Times New Roman" w:cs="Times New Roman"/>
      <w:b/>
      <w:bCs/>
      <w:sz w:val="18"/>
      <w:szCs w:val="18"/>
    </w:rPr>
  </w:style>
  <w:style w:type="character" w:customStyle="1" w:styleId="FontStyle33">
    <w:name w:val="Font Style33"/>
    <w:uiPriority w:val="99"/>
    <w:rsid w:val="00CD61EA"/>
    <w:rPr>
      <w:rFonts w:ascii="Times New Roman" w:hAnsi="Times New Roman" w:cs="Times New Roman"/>
      <w:sz w:val="18"/>
      <w:szCs w:val="18"/>
    </w:rPr>
  </w:style>
  <w:style w:type="character" w:customStyle="1" w:styleId="FontStyle37">
    <w:name w:val="Font Style37"/>
    <w:uiPriority w:val="99"/>
    <w:rsid w:val="00CD61EA"/>
    <w:rPr>
      <w:rFonts w:ascii="Times New Roman" w:hAnsi="Times New Roman" w:cs="Times New Roman"/>
      <w:b/>
      <w:bCs/>
      <w:sz w:val="16"/>
      <w:szCs w:val="16"/>
    </w:rPr>
  </w:style>
  <w:style w:type="character" w:customStyle="1" w:styleId="FontStyle38">
    <w:name w:val="Font Style38"/>
    <w:uiPriority w:val="99"/>
    <w:rsid w:val="00CD61EA"/>
    <w:rPr>
      <w:rFonts w:ascii="Georgia" w:hAnsi="Georgia" w:cs="Georgia"/>
      <w:sz w:val="22"/>
      <w:szCs w:val="22"/>
    </w:rPr>
  </w:style>
  <w:style w:type="character" w:customStyle="1" w:styleId="FontStyle39">
    <w:name w:val="Font Style39"/>
    <w:uiPriority w:val="99"/>
    <w:rsid w:val="00CD61EA"/>
    <w:rPr>
      <w:rFonts w:ascii="Times New Roman" w:hAnsi="Times New Roman" w:cs="Times New Roman"/>
      <w:b/>
      <w:bCs/>
      <w:sz w:val="20"/>
      <w:szCs w:val="20"/>
    </w:rPr>
  </w:style>
  <w:style w:type="character" w:customStyle="1" w:styleId="FontStyle40">
    <w:name w:val="Font Style40"/>
    <w:uiPriority w:val="99"/>
    <w:rsid w:val="00CD61EA"/>
    <w:rPr>
      <w:rFonts w:ascii="Times New Roman" w:hAnsi="Times New Roman" w:cs="Times New Roman"/>
      <w:b/>
      <w:bCs/>
      <w:sz w:val="16"/>
      <w:szCs w:val="16"/>
    </w:rPr>
  </w:style>
  <w:style w:type="character" w:customStyle="1" w:styleId="FontStyle41">
    <w:name w:val="Font Style41"/>
    <w:uiPriority w:val="99"/>
    <w:rsid w:val="00CD61EA"/>
    <w:rPr>
      <w:rFonts w:ascii="Times New Roman" w:hAnsi="Times New Roman" w:cs="Times New Roman"/>
      <w:b/>
      <w:bCs/>
      <w:sz w:val="22"/>
      <w:szCs w:val="22"/>
    </w:rPr>
  </w:style>
  <w:style w:type="character" w:customStyle="1" w:styleId="FontStyle42">
    <w:name w:val="Font Style42"/>
    <w:uiPriority w:val="99"/>
    <w:rsid w:val="00CD61EA"/>
    <w:rPr>
      <w:rFonts w:ascii="Times New Roman" w:hAnsi="Times New Roman" w:cs="Times New Roman"/>
      <w:b/>
      <w:bCs/>
      <w:sz w:val="16"/>
      <w:szCs w:val="16"/>
    </w:rPr>
  </w:style>
  <w:style w:type="character" w:customStyle="1" w:styleId="FontStyle14">
    <w:name w:val="Font Style14"/>
    <w:uiPriority w:val="99"/>
    <w:rsid w:val="00CD61EA"/>
    <w:rPr>
      <w:rFonts w:ascii="Times New Roman" w:hAnsi="Times New Roman" w:cs="Times New Roman"/>
      <w:b/>
      <w:bCs/>
      <w:sz w:val="18"/>
      <w:szCs w:val="18"/>
    </w:rPr>
  </w:style>
  <w:style w:type="character" w:customStyle="1" w:styleId="FontStyle15">
    <w:name w:val="Font Style15"/>
    <w:uiPriority w:val="99"/>
    <w:rsid w:val="00CD61EA"/>
    <w:rPr>
      <w:rFonts w:ascii="Times New Roman" w:hAnsi="Times New Roman" w:cs="Times New Roman"/>
      <w:sz w:val="18"/>
      <w:szCs w:val="18"/>
    </w:rPr>
  </w:style>
  <w:style w:type="character" w:customStyle="1" w:styleId="FontStyle16">
    <w:name w:val="Font Style16"/>
    <w:uiPriority w:val="99"/>
    <w:rsid w:val="00CD61EA"/>
    <w:rPr>
      <w:rFonts w:ascii="Georgia" w:hAnsi="Georgia" w:cs="Georgia"/>
      <w:sz w:val="22"/>
      <w:szCs w:val="22"/>
    </w:rPr>
  </w:style>
  <w:style w:type="character" w:customStyle="1" w:styleId="FontStyle17">
    <w:name w:val="Font Style17"/>
    <w:uiPriority w:val="99"/>
    <w:rsid w:val="00CD61EA"/>
    <w:rPr>
      <w:rFonts w:ascii="Times New Roman" w:hAnsi="Times New Roman" w:cs="Times New Roman"/>
      <w:b/>
      <w:bCs/>
      <w:sz w:val="16"/>
      <w:szCs w:val="16"/>
    </w:rPr>
  </w:style>
  <w:style w:type="character" w:customStyle="1" w:styleId="FontStyle18">
    <w:name w:val="Font Style18"/>
    <w:uiPriority w:val="99"/>
    <w:rsid w:val="00CD61EA"/>
    <w:rPr>
      <w:rFonts w:ascii="Georgia" w:hAnsi="Georgia" w:cs="Georgia"/>
      <w:sz w:val="14"/>
      <w:szCs w:val="14"/>
    </w:rPr>
  </w:style>
  <w:style w:type="character" w:customStyle="1" w:styleId="FontStyle19">
    <w:name w:val="Font Style19"/>
    <w:uiPriority w:val="99"/>
    <w:rsid w:val="00CD61EA"/>
    <w:rPr>
      <w:rFonts w:ascii="Times New Roman" w:hAnsi="Times New Roman" w:cs="Times New Roman"/>
      <w:b/>
      <w:bCs/>
      <w:sz w:val="14"/>
      <w:szCs w:val="14"/>
    </w:rPr>
  </w:style>
  <w:style w:type="table" w:customStyle="1" w:styleId="13">
    <w:name w:val="Сетка таблицы1"/>
    <w:basedOn w:val="a1"/>
    <w:next w:val="a3"/>
    <w:uiPriority w:val="59"/>
    <w:rsid w:val="00CD61E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D61EA"/>
    <w:pPr>
      <w:spacing w:after="120" w:line="480" w:lineRule="auto"/>
    </w:pPr>
    <w:rPr>
      <w:sz w:val="24"/>
      <w:lang w:val="x-none"/>
    </w:rPr>
  </w:style>
  <w:style w:type="character" w:customStyle="1" w:styleId="20">
    <w:name w:val="Основной текст 2 Знак"/>
    <w:basedOn w:val="a0"/>
    <w:link w:val="2"/>
    <w:rsid w:val="00CD61EA"/>
    <w:rPr>
      <w:sz w:val="24"/>
      <w:szCs w:val="24"/>
      <w:lang w:val="x-none"/>
    </w:rPr>
  </w:style>
  <w:style w:type="paragraph" w:styleId="af3">
    <w:name w:val="header"/>
    <w:basedOn w:val="a"/>
    <w:link w:val="af4"/>
    <w:uiPriority w:val="99"/>
    <w:unhideWhenUsed/>
    <w:rsid w:val="00CD61EA"/>
    <w:pPr>
      <w:tabs>
        <w:tab w:val="center" w:pos="4677"/>
        <w:tab w:val="right" w:pos="9355"/>
      </w:tabs>
    </w:pPr>
    <w:rPr>
      <w:sz w:val="24"/>
      <w:lang w:val="x-none" w:eastAsia="x-none"/>
    </w:rPr>
  </w:style>
  <w:style w:type="character" w:customStyle="1" w:styleId="af4">
    <w:name w:val="Верхний колонтитул Знак"/>
    <w:basedOn w:val="a0"/>
    <w:link w:val="af3"/>
    <w:uiPriority w:val="99"/>
    <w:rsid w:val="00CD61EA"/>
    <w:rPr>
      <w:sz w:val="24"/>
      <w:szCs w:val="24"/>
      <w:lang w:val="x-none" w:eastAsia="x-none"/>
    </w:rPr>
  </w:style>
  <w:style w:type="paragraph" w:styleId="af5">
    <w:name w:val="footer"/>
    <w:basedOn w:val="a"/>
    <w:link w:val="af6"/>
    <w:uiPriority w:val="99"/>
    <w:unhideWhenUsed/>
    <w:rsid w:val="00CD61EA"/>
    <w:pPr>
      <w:tabs>
        <w:tab w:val="center" w:pos="4677"/>
        <w:tab w:val="right" w:pos="9355"/>
      </w:tabs>
    </w:pPr>
    <w:rPr>
      <w:sz w:val="24"/>
      <w:lang w:val="x-none" w:eastAsia="x-none"/>
    </w:rPr>
  </w:style>
  <w:style w:type="character" w:customStyle="1" w:styleId="af6">
    <w:name w:val="Нижний колонтитул Знак"/>
    <w:basedOn w:val="a0"/>
    <w:link w:val="af5"/>
    <w:uiPriority w:val="99"/>
    <w:rsid w:val="00CD61EA"/>
    <w:rPr>
      <w:sz w:val="24"/>
      <w:szCs w:val="24"/>
      <w:lang w:val="x-none" w:eastAsia="x-none"/>
    </w:rPr>
  </w:style>
  <w:style w:type="paragraph" w:customStyle="1" w:styleId="af7">
    <w:name w:val="Таблицы (моноширинный)"/>
    <w:basedOn w:val="a"/>
    <w:next w:val="a"/>
    <w:rsid w:val="00CD61EA"/>
    <w:pPr>
      <w:widowControl w:val="0"/>
      <w:autoSpaceDE w:val="0"/>
      <w:autoSpaceDN w:val="0"/>
      <w:adjustRightInd w:val="0"/>
      <w:jc w:val="both"/>
    </w:pPr>
    <w:rPr>
      <w:rFonts w:ascii="Courier New" w:hAnsi="Courier New" w:cs="Courier New"/>
      <w:sz w:val="24"/>
    </w:rPr>
  </w:style>
  <w:style w:type="character" w:styleId="af8">
    <w:name w:val="Emphasis"/>
    <w:qFormat/>
    <w:rsid w:val="00CD61EA"/>
    <w:rPr>
      <w:i/>
      <w:iCs/>
    </w:rPr>
  </w:style>
  <w:style w:type="character" w:customStyle="1" w:styleId="af9">
    <w:name w:val="Цветовое выделение"/>
    <w:uiPriority w:val="99"/>
    <w:rsid w:val="00CD61EA"/>
    <w:rPr>
      <w:b/>
      <w:color w:val="000080"/>
    </w:rPr>
  </w:style>
  <w:style w:type="paragraph" w:customStyle="1" w:styleId="afa">
    <w:name w:val="Прижатый влево"/>
    <w:basedOn w:val="a"/>
    <w:next w:val="a"/>
    <w:uiPriority w:val="99"/>
    <w:rsid w:val="00CD61EA"/>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CD61EA"/>
    <w:rPr>
      <w:sz w:val="20"/>
      <w:szCs w:val="20"/>
      <w:lang w:val="x-none" w:eastAsia="x-none"/>
    </w:rPr>
  </w:style>
  <w:style w:type="character" w:customStyle="1" w:styleId="afc">
    <w:name w:val="Текст сноски Знак"/>
    <w:basedOn w:val="a0"/>
    <w:link w:val="afb"/>
    <w:uiPriority w:val="99"/>
    <w:rsid w:val="00CD61EA"/>
    <w:rPr>
      <w:lang w:val="x-none" w:eastAsia="x-none"/>
    </w:rPr>
  </w:style>
  <w:style w:type="character" w:styleId="afd">
    <w:name w:val="footnote reference"/>
    <w:uiPriority w:val="99"/>
    <w:unhideWhenUsed/>
    <w:rsid w:val="00CD61EA"/>
    <w:rPr>
      <w:vertAlign w:val="superscript"/>
    </w:rPr>
  </w:style>
  <w:style w:type="character" w:customStyle="1" w:styleId="14">
    <w:name w:val="Основной текст с отступом Знак1"/>
    <w:uiPriority w:val="99"/>
    <w:semiHidden/>
    <w:rsid w:val="00CD61EA"/>
    <w:rPr>
      <w:rFonts w:ascii="Times New Roman" w:eastAsia="Times New Roman" w:hAnsi="Times New Roman" w:cs="Times New Roman"/>
      <w:sz w:val="24"/>
      <w:szCs w:val="24"/>
      <w:lang w:eastAsia="ru-RU"/>
    </w:rPr>
  </w:style>
  <w:style w:type="paragraph" w:customStyle="1" w:styleId="ConsPlusTitlePage">
    <w:name w:val="ConsPlusTitlePage"/>
    <w:rsid w:val="00CD61EA"/>
    <w:pPr>
      <w:widowControl w:val="0"/>
      <w:autoSpaceDE w:val="0"/>
      <w:autoSpaceDN w:val="0"/>
    </w:pPr>
    <w:rPr>
      <w:rFonts w:ascii="Tahoma" w:hAnsi="Tahoma" w:cs="Tahoma"/>
    </w:rPr>
  </w:style>
  <w:style w:type="paragraph" w:styleId="afe">
    <w:name w:val="Normal (Web)"/>
    <w:basedOn w:val="a"/>
    <w:uiPriority w:val="99"/>
    <w:unhideWhenUsed/>
    <w:rsid w:val="00CD61EA"/>
    <w:pPr>
      <w:spacing w:before="100" w:beforeAutospacing="1" w:after="11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915046379">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1AF0CF499404293ECFA453091403321E15CDBA2F162174F48D4B3B99975D315E2B4081FDE5FEE8226750F1051CD5B93C579AFA62ECC332L9C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0AD59E518234C46316CF2DF72A4FABA9E7CD67C8B580C9E711F94E802D841D840E232B6992D4D7E790C25C328FDBD625E4F2D9E09154A0G6B7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0AD59E518234C46316CF2DF72A4FABA9E7CD67C8B580C9E711F94E802D841D840E232B6992D4D7E690C25C328FDBD625E4F2D9E09154A0G6B7X" TargetMode="External"/><Relationship Id="rId5" Type="http://schemas.openxmlformats.org/officeDocument/2006/relationships/webSettings" Target="webSettings.xml"/><Relationship Id="rId15" Type="http://schemas.openxmlformats.org/officeDocument/2006/relationships/hyperlink" Target="consultantplus://offline/ref=487171BFB55B60B2FD0FDA5421EA5BB93B702EA46C59B9317ABEFF2C19C02CB3B06DF654A9D29D2957556248BE4F51437DFE4FB06A7995A1Z1D9X" TargetMode="External"/><Relationship Id="rId10" Type="http://schemas.openxmlformats.org/officeDocument/2006/relationships/hyperlink" Target="consultantplus://offline/ref=5F34A91973DEFCDC25D0A0B5179B4C4D987C8D3D026964723BC3E90494586B4E7CAC21994771D3BE592516C6D8B31C1C2B429112266DEEC9m17CW" TargetMode="External"/><Relationship Id="rId4" Type="http://schemas.openxmlformats.org/officeDocument/2006/relationships/settings" Target="settings.xml"/><Relationship Id="rId9" Type="http://schemas.openxmlformats.org/officeDocument/2006/relationships/hyperlink" Target="consultantplus://offline/ref=5F34A91973DEFCDC25D0A0B5179B4C4D9F758C3B036564723BC3E90494586B4E6EAC79954572CDBD593040979EmE77W" TargetMode="External"/><Relationship Id="rId14" Type="http://schemas.openxmlformats.org/officeDocument/2006/relationships/hyperlink" Target="consultantplus://offline/ref=2E1AF0CF499404293ECFA453091403321E15CDBA2F162174F48D4B3B99975D315E2B4081FDE5FEE8246750F1051CD5B93C579AFA62ECC332L9C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CC04-089D-4A73-A697-A99761AB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1775</Words>
  <Characters>14227</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15971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138</cp:revision>
  <cp:lastPrinted>2020-05-08T01:33:00Z</cp:lastPrinted>
  <dcterms:created xsi:type="dcterms:W3CDTF">2020-05-08T04:38:00Z</dcterms:created>
  <dcterms:modified xsi:type="dcterms:W3CDTF">2022-10-14T01:44:00Z</dcterms:modified>
</cp:coreProperties>
</file>