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BF18C4">
              <w:rPr>
                <w:szCs w:val="28"/>
              </w:rPr>
              <w:t>Корякского сельского</w:t>
            </w:r>
            <w:r w:rsidR="009F0D70">
              <w:rPr>
                <w:szCs w:val="28"/>
              </w:rPr>
              <w:t xml:space="preserve"> поселения Елизовского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BF18C4">
        <w:rPr>
          <w:b w:val="0"/>
          <w:szCs w:val="28"/>
        </w:rPr>
        <w:t>Корякском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06386B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BF18C4">
        <w:rPr>
          <w:b w:val="0"/>
          <w:szCs w:val="28"/>
          <w:lang w:val="ru-RU"/>
        </w:rPr>
        <w:t>Корякского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 xml:space="preserve">25 </w:t>
      </w:r>
      <w:r w:rsidRPr="002F3201">
        <w:rPr>
          <w:b w:val="0"/>
          <w:szCs w:val="28"/>
          <w:lang w:val="ru-RU"/>
        </w:rPr>
        <w:t>г</w:t>
      </w:r>
      <w:r>
        <w:rPr>
          <w:b w:val="0"/>
          <w:szCs w:val="28"/>
          <w:lang w:val="ru-RU"/>
        </w:rPr>
        <w:t xml:space="preserve">оды согласно приложению </w:t>
      </w:r>
      <w:r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BF18C4">
        <w:rPr>
          <w:b w:val="0"/>
          <w:szCs w:val="28"/>
        </w:rPr>
        <w:t>Корякском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BF18C4">
        <w:rPr>
          <w:b w:val="0"/>
          <w:szCs w:val="28"/>
          <w:lang w:val="ru-RU"/>
        </w:rPr>
        <w:t>Корякского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BF18C4">
        <w:rPr>
          <w:b w:val="0"/>
          <w:szCs w:val="28"/>
        </w:rPr>
        <w:t>Корякского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BF18C4">
        <w:rPr>
          <w:b w:val="0"/>
          <w:szCs w:val="28"/>
        </w:rPr>
        <w:t>Корякского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в </w:t>
      </w:r>
      <w:r w:rsidR="00BF18C4">
        <w:rPr>
          <w:rFonts w:eastAsia="Calibri"/>
          <w:b/>
          <w:szCs w:val="28"/>
          <w:lang w:eastAsia="en-US"/>
        </w:rPr>
        <w:t>Корякском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F0D70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1509AA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1509A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1509AA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9F0D70" w:rsidRPr="00DE0194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1509AA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412AB0" w:rsidRPr="00DE0194" w:rsidTr="001509AA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7,874</w:t>
            </w:r>
          </w:p>
        </w:tc>
      </w:tr>
      <w:tr w:rsidR="00412AB0" w:rsidRPr="00DE0194" w:rsidTr="001509AA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3,973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3,973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3,973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3,973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3,973</w:t>
            </w:r>
          </w:p>
        </w:tc>
      </w:tr>
      <w:tr w:rsidR="00412AB0" w:rsidRPr="00DE0194" w:rsidTr="001509AA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412AB0" w:rsidRPr="00DE0194" w:rsidTr="001509AA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412AB0" w:rsidRPr="00DE0194" w:rsidTr="001509AA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AB0" w:rsidRPr="00DE0194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3,901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3,901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3,901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0" w:rsidRPr="00DE0194" w:rsidRDefault="00412AB0" w:rsidP="00412A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3,901</w:t>
            </w: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9F0D70" w:rsidRDefault="009F0D70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509AA" w:rsidRDefault="001509AA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F0D70" w:rsidRPr="008A3EFA" w:rsidRDefault="009F0D70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412AB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412AB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412AB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412AB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412AB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454274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412AB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412AB0" w:rsidRPr="000A68C3" w:rsidTr="00B04BC5">
        <w:tc>
          <w:tcPr>
            <w:tcW w:w="670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0" w:rsidRDefault="00412AB0" w:rsidP="00412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318,204</w:t>
            </w:r>
          </w:p>
        </w:tc>
      </w:tr>
      <w:tr w:rsidR="00412AB0" w:rsidRPr="000A68C3" w:rsidTr="00412AB0">
        <w:tc>
          <w:tcPr>
            <w:tcW w:w="670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0" w:rsidRDefault="00412AB0" w:rsidP="00412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330,614</w:t>
            </w:r>
          </w:p>
        </w:tc>
      </w:tr>
      <w:tr w:rsidR="00412AB0" w:rsidRPr="000A68C3" w:rsidTr="00412AB0">
        <w:tc>
          <w:tcPr>
            <w:tcW w:w="670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0" w:rsidRDefault="00412AB0" w:rsidP="00412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343,839</w:t>
            </w:r>
          </w:p>
        </w:tc>
      </w:tr>
      <w:tr w:rsidR="00412AB0" w:rsidRPr="000A68C3" w:rsidTr="00412AB0">
        <w:tc>
          <w:tcPr>
            <w:tcW w:w="670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0" w:rsidRDefault="00412AB0" w:rsidP="00412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357,592</w:t>
            </w:r>
          </w:p>
        </w:tc>
      </w:tr>
      <w:tr w:rsidR="00412AB0" w:rsidRPr="000A68C3" w:rsidTr="00412AB0">
        <w:tc>
          <w:tcPr>
            <w:tcW w:w="670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0" w:rsidRDefault="00412AB0" w:rsidP="00412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371,896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412AB0" w:rsidRPr="000A68C3" w:rsidTr="00412AB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12AB0" w:rsidRPr="000A68C3" w:rsidRDefault="00412AB0" w:rsidP="00412A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412AB0" w:rsidRPr="000A68C3" w:rsidTr="00412AB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412AB0" w:rsidRPr="000A68C3" w:rsidTr="00412AB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412AB0" w:rsidRPr="000A68C3" w:rsidTr="00412AB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412AB0" w:rsidRPr="000A68C3" w:rsidTr="00412AB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412AB0" w:rsidRPr="000A68C3" w:rsidRDefault="00412AB0" w:rsidP="00412A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0" w:rsidRPr="00642F5C" w:rsidRDefault="00412AB0" w:rsidP="00412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4599D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4599D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4599D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94599D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94599D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923EA3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4599D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4599D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4599D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A3" w:rsidRPr="000A68C3" w:rsidRDefault="0094599D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A3" w:rsidRPr="000A68C3" w:rsidRDefault="0094599D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2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BF18C4">
        <w:rPr>
          <w:szCs w:val="28"/>
        </w:rPr>
        <w:t>Корякского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94599D" w:rsidTr="0094599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4599D" w:rsidRPr="00DE0194" w:rsidRDefault="0094599D" w:rsidP="0094599D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599D" w:rsidRPr="00DE0194" w:rsidRDefault="0094599D" w:rsidP="0094599D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239,653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3F697B" w:rsidRDefault="0094599D" w:rsidP="0094599D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</w:tr>
      <w:tr w:rsidR="0094599D" w:rsidTr="0094599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239,653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3F697B" w:rsidRDefault="0094599D" w:rsidP="0094599D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</w:tr>
      <w:tr w:rsidR="0094599D" w:rsidTr="0094599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239,653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3F697B" w:rsidRDefault="0094599D" w:rsidP="0094599D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</w:tr>
      <w:tr w:rsidR="0094599D" w:rsidTr="0094599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239,653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99D" w:rsidRPr="003F697B" w:rsidRDefault="0094599D" w:rsidP="0094599D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</w:tr>
      <w:tr w:rsidR="0094599D" w:rsidTr="0094599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239,653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3F697B" w:rsidRDefault="0094599D" w:rsidP="0094599D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99D" w:rsidRPr="00DE0194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1509AA" w:rsidRPr="001F76C5" w:rsidRDefault="001509AA" w:rsidP="001509AA">
      <w:pPr>
        <w:ind w:left="4536"/>
        <w:jc w:val="both"/>
      </w:pPr>
      <w:r>
        <w:lastRenderedPageBreak/>
        <w:t>Приложение 3</w:t>
      </w:r>
    </w:p>
    <w:p w:rsidR="001509AA" w:rsidRDefault="001509AA" w:rsidP="001509A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509AA" w:rsidRDefault="001509AA" w:rsidP="001509AA">
      <w:pPr>
        <w:widowControl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1509AA" w:rsidRDefault="001509AA" w:rsidP="00DF4B5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BF18C4">
        <w:rPr>
          <w:rFonts w:eastAsia="Calibri"/>
          <w:b/>
          <w:szCs w:val="28"/>
          <w:lang w:eastAsia="en-US"/>
        </w:rPr>
        <w:t>Корякском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1509AA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1509AA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1509AA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364112" w:rsidRP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1509AA" w:rsidRPr="00DE0194" w:rsidTr="001509AA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1509AA" w:rsidRPr="00DE0194" w:rsidTr="001509AA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4599D" w:rsidRPr="00DE0194" w:rsidTr="001509AA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</w:tr>
      <w:tr w:rsidR="0094599D" w:rsidRPr="00DE0194" w:rsidTr="001509AA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4,469</w:t>
            </w:r>
          </w:p>
        </w:tc>
      </w:tr>
      <w:tr w:rsidR="0094599D" w:rsidRPr="00DE0194" w:rsidTr="001509AA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4599D" w:rsidRPr="00DE0194" w:rsidTr="001509AA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4599D" w:rsidRPr="00DE0194" w:rsidTr="001509AA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99D" w:rsidRPr="00DE0194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9D" w:rsidRPr="00DE0194" w:rsidRDefault="0094599D" w:rsidP="00945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1509AA" w:rsidRPr="00DE0194" w:rsidRDefault="001509AA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94599D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94599D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94599D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94599D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94599D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831299" w:rsidTr="009F0D7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454274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94599D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94599D" w:rsidRPr="00364112" w:rsidTr="00412AB0">
        <w:tc>
          <w:tcPr>
            <w:tcW w:w="670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185,754</w:t>
            </w:r>
          </w:p>
        </w:tc>
      </w:tr>
      <w:tr w:rsidR="0094599D" w:rsidRPr="00364112" w:rsidTr="00412AB0">
        <w:tc>
          <w:tcPr>
            <w:tcW w:w="670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192,998</w:t>
            </w:r>
          </w:p>
        </w:tc>
      </w:tr>
      <w:tr w:rsidR="0094599D" w:rsidRPr="00364112" w:rsidTr="00412AB0">
        <w:tc>
          <w:tcPr>
            <w:tcW w:w="670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200,718</w:t>
            </w:r>
          </w:p>
        </w:tc>
      </w:tr>
      <w:tr w:rsidR="0094599D" w:rsidRPr="00364112" w:rsidTr="00412AB0">
        <w:tc>
          <w:tcPr>
            <w:tcW w:w="670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208,747</w:t>
            </w:r>
          </w:p>
        </w:tc>
      </w:tr>
      <w:tr w:rsidR="0094599D" w:rsidRPr="00364112" w:rsidTr="00412AB0">
        <w:tc>
          <w:tcPr>
            <w:tcW w:w="670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217,097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B04BC5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B04BC5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B04BC5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94599D" w:rsidRPr="00364112" w:rsidTr="009F0D7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94599D" w:rsidRPr="009F0D70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4599D" w:rsidRPr="00364112" w:rsidRDefault="0094599D" w:rsidP="0094599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599D" w:rsidRPr="00364112" w:rsidTr="009F0D7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599D" w:rsidRPr="00364112" w:rsidTr="009F0D7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599D" w:rsidRPr="00364112" w:rsidTr="009F0D7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599D" w:rsidRPr="00364112" w:rsidTr="009F0D7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4599D" w:rsidRPr="00364112" w:rsidRDefault="0094599D" w:rsidP="009459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9D" w:rsidRDefault="0094599D" w:rsidP="00945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94599D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4599D">
              <w:rPr>
                <w:sz w:val="24"/>
              </w:rPr>
              <w:t>1,02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94599D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4599D">
              <w:rPr>
                <w:sz w:val="24"/>
              </w:rPr>
              <w:t>1,02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94599D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4599D">
              <w:rPr>
                <w:sz w:val="24"/>
              </w:rPr>
              <w:t>1,02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94599D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4599D">
              <w:rPr>
                <w:sz w:val="24"/>
              </w:rPr>
              <w:t>1,02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94599D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4599D">
              <w:rPr>
                <w:sz w:val="24"/>
              </w:rPr>
              <w:t>1,02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6804C4" w:rsidRDefault="006804C4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BF18C4">
        <w:rPr>
          <w:szCs w:val="28"/>
        </w:rPr>
        <w:t>Корякского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94599D" w:rsidTr="0094599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4599D" w:rsidRPr="00364112" w:rsidRDefault="0094599D" w:rsidP="0094599D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599D" w:rsidRPr="00364112" w:rsidRDefault="0094599D" w:rsidP="0094599D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199,240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 w:rsidR="0094599D" w:rsidTr="0094599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199,240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 w:rsidR="0094599D" w:rsidTr="0094599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199,240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 w:rsidR="0094599D" w:rsidTr="0094599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199,240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  <w:tr w:rsidR="0094599D" w:rsidTr="0094599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9D" w:rsidRPr="0094599D" w:rsidRDefault="0094599D" w:rsidP="0094599D">
            <w:pPr>
              <w:jc w:val="center"/>
              <w:rPr>
                <w:color w:val="000000"/>
                <w:sz w:val="24"/>
              </w:rPr>
            </w:pPr>
            <w:r w:rsidRPr="0094599D">
              <w:rPr>
                <w:color w:val="000000"/>
                <w:sz w:val="24"/>
              </w:rPr>
              <w:t>199,240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99D" w:rsidRPr="00364112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BF18C4">
        <w:rPr>
          <w:szCs w:val="28"/>
        </w:rPr>
        <w:t>Корякского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39,70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41,13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49,36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41,13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49,36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42,73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51,28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42,73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51,28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53,33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53,33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55,46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55,46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48,07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94599D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57,68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94599D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94599D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BF18C4">
        <w:rPr>
          <w:szCs w:val="28"/>
        </w:rPr>
        <w:t>Корякского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40,83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42,30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50,76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42,30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50,76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52,74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52,74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45,71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54,85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45,71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54,85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47,54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57,04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47,54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57,04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94599D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59,32</w:t>
            </w:r>
            <w:bookmarkStart w:id="1" w:name="_GoBack"/>
            <w:bookmarkEnd w:id="1"/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94599D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94599D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D8" w:rsidRDefault="008149D8" w:rsidP="00342D13">
      <w:r>
        <w:separator/>
      </w:r>
    </w:p>
  </w:endnote>
  <w:endnote w:type="continuationSeparator" w:id="0">
    <w:p w:rsidR="008149D8" w:rsidRDefault="008149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D8" w:rsidRDefault="008149D8" w:rsidP="00342D13">
      <w:r>
        <w:separator/>
      </w:r>
    </w:p>
  </w:footnote>
  <w:footnote w:type="continuationSeparator" w:id="0">
    <w:p w:rsidR="008149D8" w:rsidRDefault="008149D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736FD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509AA"/>
    <w:rsid w:val="001723D0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2527B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C7662"/>
    <w:rsid w:val="003D4111"/>
    <w:rsid w:val="003D570A"/>
    <w:rsid w:val="003D6F0D"/>
    <w:rsid w:val="003E38BA"/>
    <w:rsid w:val="003F697B"/>
    <w:rsid w:val="00412AB0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42F5C"/>
    <w:rsid w:val="00651922"/>
    <w:rsid w:val="006554EE"/>
    <w:rsid w:val="006604E4"/>
    <w:rsid w:val="006650EC"/>
    <w:rsid w:val="00665207"/>
    <w:rsid w:val="006804C4"/>
    <w:rsid w:val="006823EB"/>
    <w:rsid w:val="006979FB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49D8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3EA3"/>
    <w:rsid w:val="00924133"/>
    <w:rsid w:val="009244DB"/>
    <w:rsid w:val="00925881"/>
    <w:rsid w:val="009344B2"/>
    <w:rsid w:val="00941FB5"/>
    <w:rsid w:val="0094599D"/>
    <w:rsid w:val="00945B22"/>
    <w:rsid w:val="00955A4D"/>
    <w:rsid w:val="0097055D"/>
    <w:rsid w:val="00970B2B"/>
    <w:rsid w:val="009806AF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0D70"/>
    <w:rsid w:val="009F2212"/>
    <w:rsid w:val="00A12369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6285"/>
    <w:rsid w:val="00AE7AD2"/>
    <w:rsid w:val="00AE7CE5"/>
    <w:rsid w:val="00B0143F"/>
    <w:rsid w:val="00B047CC"/>
    <w:rsid w:val="00B04BC5"/>
    <w:rsid w:val="00B05805"/>
    <w:rsid w:val="00B05F7C"/>
    <w:rsid w:val="00B075AA"/>
    <w:rsid w:val="00B113B7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18C4"/>
    <w:rsid w:val="00BF3535"/>
    <w:rsid w:val="00BF3927"/>
    <w:rsid w:val="00BF5293"/>
    <w:rsid w:val="00C00871"/>
    <w:rsid w:val="00C17341"/>
    <w:rsid w:val="00C30A84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4935"/>
    <w:rsid w:val="00E3601E"/>
    <w:rsid w:val="00E371B1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8EF2-F054-411F-9B0F-04ECF49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2020-12-04T06:46:00Z</dcterms:created>
  <dcterms:modified xsi:type="dcterms:W3CDTF">2020-12-04T07:22:00Z</dcterms:modified>
</cp:coreProperties>
</file>