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A7EC3" w:rsidP="00B1081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</w:t>
            </w:r>
            <w:r w:rsidR="00992DD4">
              <w:rPr>
                <w:szCs w:val="28"/>
              </w:rPr>
              <w:t xml:space="preserve">в </w:t>
            </w:r>
            <w:r w:rsidR="00B10814" w:rsidRPr="00B10814">
              <w:rPr>
                <w:szCs w:val="28"/>
              </w:rPr>
              <w:t xml:space="preserve">Мильковском муниципальном районе (за исключением потребителей Атласовского СП) на </w:t>
            </w:r>
            <w:r w:rsidRPr="00EF5734">
              <w:rPr>
                <w:szCs w:val="28"/>
              </w:rPr>
              <w:t>20</w:t>
            </w:r>
            <w:r>
              <w:rPr>
                <w:szCs w:val="28"/>
              </w:rPr>
              <w:t>21-2023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B10814">
        <w:rPr>
          <w:bCs/>
          <w:szCs w:val="28"/>
        </w:rPr>
        <w:t>01</w:t>
      </w:r>
      <w:r>
        <w:rPr>
          <w:bCs/>
          <w:szCs w:val="28"/>
        </w:rPr>
        <w:t>.1</w:t>
      </w:r>
      <w:r w:rsidR="00B10814">
        <w:rPr>
          <w:bCs/>
          <w:szCs w:val="28"/>
        </w:rPr>
        <w:t>2.</w:t>
      </w:r>
      <w:r>
        <w:rPr>
          <w:bCs/>
          <w:szCs w:val="28"/>
        </w:rPr>
        <w:t>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>УП «Спецтранс</w:t>
      </w:r>
      <w:r w:rsidRPr="00BD1750">
        <w:rPr>
          <w:b w:val="0"/>
          <w:szCs w:val="28"/>
          <w:lang w:val="ru-RU"/>
        </w:rPr>
        <w:t xml:space="preserve">» </w:t>
      </w:r>
      <w:r w:rsidR="00F333CD" w:rsidRPr="00F333CD">
        <w:rPr>
          <w:b w:val="0"/>
          <w:szCs w:val="28"/>
          <w:lang w:val="ru-RU"/>
        </w:rPr>
        <w:t xml:space="preserve">в </w:t>
      </w:r>
      <w:r w:rsidR="00B10814" w:rsidRPr="00B10814">
        <w:rPr>
          <w:b w:val="0"/>
          <w:szCs w:val="28"/>
          <w:lang w:val="ru-RU"/>
        </w:rPr>
        <w:t xml:space="preserve">Мильковском муниципальном </w:t>
      </w:r>
      <w:r w:rsidR="00B10814" w:rsidRPr="00B10814">
        <w:rPr>
          <w:b w:val="0"/>
          <w:szCs w:val="28"/>
          <w:lang w:val="ru-RU"/>
        </w:rPr>
        <w:lastRenderedPageBreak/>
        <w:t>районе (за исключением потребителей Атласовского СП)</w:t>
      </w:r>
      <w:r w:rsidRPr="00BD1750">
        <w:rPr>
          <w:b w:val="0"/>
          <w:szCs w:val="28"/>
        </w:rPr>
        <w:t xml:space="preserve"> на 2021-2023 годы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7C7C73">
        <w:rPr>
          <w:b w:val="0"/>
          <w:szCs w:val="28"/>
          <w:lang w:val="ru-RU"/>
        </w:rPr>
        <w:t xml:space="preserve">2. Утвердить долгосрочные параметры регулирования </w:t>
      </w:r>
      <w:r w:rsidRPr="007C7C73">
        <w:rPr>
          <w:b w:val="0"/>
          <w:szCs w:val="28"/>
        </w:rPr>
        <w:t>ГУП «</w:t>
      </w:r>
      <w:r w:rsidRPr="007C7C73">
        <w:rPr>
          <w:b w:val="0"/>
          <w:szCs w:val="28"/>
          <w:lang w:val="ru-RU"/>
        </w:rPr>
        <w:t>Спецтранс</w:t>
      </w:r>
      <w:r w:rsidRPr="007C7C73">
        <w:rPr>
          <w:b w:val="0"/>
          <w:szCs w:val="28"/>
        </w:rPr>
        <w:t>»</w:t>
      </w:r>
      <w:r w:rsidRPr="007C7C73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="00992DD4" w:rsidRPr="007C7C73">
        <w:rPr>
          <w:b w:val="0"/>
          <w:szCs w:val="28"/>
        </w:rPr>
        <w:t>тарифов на захоронение твердых коммунальных отходов</w:t>
      </w:r>
      <w:r w:rsidRPr="007C7C73">
        <w:rPr>
          <w:b w:val="0"/>
          <w:szCs w:val="28"/>
          <w:lang w:val="ru-RU"/>
        </w:rPr>
        <w:t xml:space="preserve"> ГУП «Спецтранс» </w:t>
      </w:r>
      <w:r w:rsidR="00F333CD" w:rsidRPr="00F333CD">
        <w:rPr>
          <w:b w:val="0"/>
          <w:szCs w:val="28"/>
          <w:lang w:val="ru-RU"/>
        </w:rPr>
        <w:t xml:space="preserve">в </w:t>
      </w:r>
      <w:r w:rsidR="00B10814" w:rsidRPr="00B10814">
        <w:rPr>
          <w:b w:val="0"/>
          <w:szCs w:val="28"/>
          <w:lang w:val="ru-RU"/>
        </w:rPr>
        <w:t>Мильковском муниципальном районе (за исключением потребителей Атласовского СП)</w:t>
      </w:r>
      <w:r w:rsidR="00F333CD">
        <w:rPr>
          <w:b w:val="0"/>
          <w:szCs w:val="28"/>
          <w:lang w:val="ru-RU"/>
        </w:rPr>
        <w:t xml:space="preserve"> </w:t>
      </w:r>
      <w:r w:rsidRPr="007C7C73">
        <w:rPr>
          <w:b w:val="0"/>
          <w:szCs w:val="28"/>
        </w:rPr>
        <w:t>на 2021-2023 годы</w:t>
      </w:r>
      <w:r w:rsidRPr="007C7C73">
        <w:rPr>
          <w:b w:val="0"/>
          <w:szCs w:val="28"/>
          <w:lang w:val="ru-RU"/>
        </w:rPr>
        <w:t xml:space="preserve"> согласно приложению 2.</w:t>
      </w:r>
    </w:p>
    <w:p w:rsidR="00EA7EC3" w:rsidRPr="007C7C73" w:rsidRDefault="00EA7EC3" w:rsidP="00EA7EC3">
      <w:pPr>
        <w:pStyle w:val="ad"/>
        <w:ind w:firstLine="709"/>
        <w:rPr>
          <w:b w:val="0"/>
          <w:lang w:val="ru-RU"/>
        </w:rPr>
      </w:pPr>
      <w:r w:rsidRPr="007C7C73">
        <w:rPr>
          <w:b w:val="0"/>
          <w:szCs w:val="28"/>
          <w:lang w:val="ru-RU"/>
        </w:rPr>
        <w:t xml:space="preserve">3. </w:t>
      </w:r>
      <w:r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Pr="007C7C73">
        <w:rPr>
          <w:b w:val="0"/>
        </w:rPr>
        <w:t xml:space="preserve">ГУП «Спецтранс» </w:t>
      </w:r>
      <w:r w:rsidR="00F333CD" w:rsidRPr="00F333CD">
        <w:rPr>
          <w:b w:val="0"/>
          <w:lang w:val="ru-RU"/>
        </w:rPr>
        <w:t xml:space="preserve">в </w:t>
      </w:r>
      <w:r w:rsidR="00B10814" w:rsidRPr="00B10814">
        <w:rPr>
          <w:b w:val="0"/>
          <w:lang w:val="ru-RU"/>
        </w:rPr>
        <w:t>Мильковском муниципальном районе (за исключением потребителей Атласовского СП)</w:t>
      </w:r>
      <w:r w:rsidRPr="007C7C73">
        <w:rPr>
          <w:b w:val="0"/>
          <w:szCs w:val="28"/>
        </w:rPr>
        <w:t xml:space="preserve"> на 202</w:t>
      </w:r>
      <w:r w:rsidR="00BD1750" w:rsidRPr="007C7C73">
        <w:rPr>
          <w:b w:val="0"/>
          <w:szCs w:val="28"/>
          <w:lang w:val="ru-RU"/>
        </w:rPr>
        <w:t xml:space="preserve">1-2023 </w:t>
      </w:r>
      <w:r w:rsidRPr="007C7C73">
        <w:rPr>
          <w:b w:val="0"/>
          <w:szCs w:val="28"/>
        </w:rPr>
        <w:t>год</w:t>
      </w:r>
      <w:r w:rsidR="00BD1750" w:rsidRPr="007C7C73">
        <w:rPr>
          <w:b w:val="0"/>
          <w:szCs w:val="28"/>
          <w:lang w:val="ru-RU"/>
        </w:rPr>
        <w:t>ы</w:t>
      </w:r>
      <w:r w:rsidRPr="007C7C73">
        <w:rPr>
          <w:b w:val="0"/>
          <w:lang w:val="ru-RU"/>
        </w:rPr>
        <w:t xml:space="preserve"> </w:t>
      </w:r>
      <w:r w:rsidR="00BD1750" w:rsidRPr="007C7C73">
        <w:rPr>
          <w:b w:val="0"/>
          <w:lang w:val="ru-RU"/>
        </w:rPr>
        <w:t>согласно приложению 3</w:t>
      </w:r>
      <w:r w:rsidRPr="007C7C73">
        <w:rPr>
          <w:b w:val="0"/>
          <w:lang w:val="ru-RU"/>
        </w:rPr>
        <w:t>.</w:t>
      </w:r>
    </w:p>
    <w:p w:rsidR="00EA7EC3" w:rsidRPr="00A36874" w:rsidRDefault="00D973E6" w:rsidP="00EA7EC3">
      <w:pPr>
        <w:ind w:firstLine="709"/>
        <w:jc w:val="both"/>
        <w:rPr>
          <w:lang w:val="x-none"/>
        </w:rPr>
      </w:pPr>
      <w:r w:rsidRPr="007C7C73">
        <w:rPr>
          <w:szCs w:val="28"/>
        </w:rPr>
        <w:t>4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0814">
        <w:rPr>
          <w:szCs w:val="28"/>
        </w:rPr>
        <w:t>01</w:t>
      </w:r>
      <w:r>
        <w:rPr>
          <w:szCs w:val="28"/>
        </w:rPr>
        <w:t>.1</w:t>
      </w:r>
      <w:r w:rsidR="00B10814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333CD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F333CD" w:rsidRPr="00F333CD">
        <w:rPr>
          <w:b/>
          <w:szCs w:val="28"/>
        </w:rPr>
        <w:t xml:space="preserve">в </w:t>
      </w:r>
      <w:r w:rsidR="00B10814" w:rsidRPr="00B10814">
        <w:rPr>
          <w:b/>
          <w:szCs w:val="28"/>
        </w:rPr>
        <w:t>Мильковском муниципальном районе (за исключением потребителей Атласовского СП)</w:t>
      </w:r>
      <w:r w:rsidRPr="00FB34A3">
        <w:rPr>
          <w:b/>
          <w:szCs w:val="28"/>
        </w:rPr>
        <w:t xml:space="preserve">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375"/>
        <w:gridCol w:w="1517"/>
        <w:gridCol w:w="1843"/>
        <w:gridCol w:w="1476"/>
      </w:tblGrid>
      <w:tr w:rsidR="00FB34A3" w:rsidRPr="00F5573A" w:rsidTr="00B10814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10814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B10814">
        <w:trPr>
          <w:trHeight w:val="835"/>
        </w:trPr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1216" w:type="pct"/>
            <w:shd w:val="clear" w:color="auto" w:fill="auto"/>
          </w:tcPr>
          <w:p w:rsidR="00FB34A3" w:rsidRPr="00B10814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10814">
              <w:rPr>
                <w:sz w:val="24"/>
              </w:rPr>
              <w:t xml:space="preserve">683032, </w:t>
            </w:r>
          </w:p>
          <w:p w:rsidR="00FB34A3" w:rsidRPr="00B10814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10814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10814">
              <w:rPr>
                <w:sz w:val="24"/>
              </w:rPr>
              <w:t>ул. Высотная, 32а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B10814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10814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B10814"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121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Лагуткина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Default="00EC032F" w:rsidP="00B10814">
      <w:pPr>
        <w:autoSpaceDE w:val="0"/>
        <w:autoSpaceDN w:val="0"/>
        <w:adjustRightInd w:val="0"/>
        <w:ind w:left="-142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138"/>
        <w:gridCol w:w="1216"/>
        <w:gridCol w:w="1291"/>
        <w:gridCol w:w="1291"/>
        <w:gridCol w:w="1291"/>
      </w:tblGrid>
      <w:tr w:rsidR="00EC032F" w:rsidRPr="00831299" w:rsidTr="0070622E">
        <w:trPr>
          <w:cantSplit/>
          <w:trHeight w:val="404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14" w:rsidRDefault="00B10814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032F" w:rsidRPr="00454274" w:rsidRDefault="00EC032F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70622E">
        <w:trPr>
          <w:cantSplit/>
          <w:trHeight w:val="103"/>
        </w:trPr>
        <w:tc>
          <w:tcPr>
            <w:tcW w:w="2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22E" w:rsidRPr="00831299" w:rsidTr="0070622E">
        <w:trPr>
          <w:cantSplit/>
          <w:trHeight w:val="2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180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180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180</w:t>
            </w: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194921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180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180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180</w:t>
            </w:r>
          </w:p>
        </w:tc>
      </w:tr>
      <w:tr w:rsidR="00776BC5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10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324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10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324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10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324</w:t>
            </w: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  <w:r w:rsidRPr="0070622E">
              <w:rPr>
                <w:sz w:val="24"/>
              </w:rPr>
              <w:t>182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  <w:r w:rsidRPr="0070622E">
              <w:rPr>
                <w:sz w:val="24"/>
              </w:rPr>
              <w:t>182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  <w:r w:rsidRPr="0070622E">
              <w:rPr>
                <w:sz w:val="24"/>
              </w:rPr>
              <w:t>182</w:t>
            </w: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Pr="0070622E">
              <w:rPr>
                <w:sz w:val="24"/>
              </w:rPr>
              <w:t>674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 w:rsidRPr="0070622E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Pr="0070622E">
              <w:rPr>
                <w:sz w:val="24"/>
              </w:rPr>
              <w:t>674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70622E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Pr="0070622E">
              <w:rPr>
                <w:sz w:val="24"/>
              </w:rPr>
              <w:t>674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Pr="006C065C" w:rsidRDefault="007C7C73" w:rsidP="00B10814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22"/>
        <w:gridCol w:w="1472"/>
        <w:gridCol w:w="2947"/>
      </w:tblGrid>
      <w:tr w:rsidR="007C7C73" w:rsidRPr="006C065C" w:rsidTr="00B10814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B10814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B10814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B10814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3" w:rsidRPr="00831299" w:rsidTr="00B10814">
        <w:trPr>
          <w:cantSplit/>
          <w:trHeight w:val="462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B1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B10814">
        <w:trPr>
          <w:cantSplit/>
          <w:trHeight w:val="399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B1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B10814">
        <w:trPr>
          <w:cantSplit/>
          <w:trHeight w:val="418"/>
        </w:trPr>
        <w:tc>
          <w:tcPr>
            <w:tcW w:w="2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B1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B10814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766"/>
        <w:gridCol w:w="1397"/>
        <w:gridCol w:w="2779"/>
      </w:tblGrid>
      <w:tr w:rsidR="00EC032F" w:rsidRPr="00F01B2D" w:rsidTr="00B10814">
        <w:trPr>
          <w:trHeight w:val="470"/>
        </w:trPr>
        <w:tc>
          <w:tcPr>
            <w:tcW w:w="462" w:type="pct"/>
            <w:shd w:val="clear" w:color="auto" w:fill="auto"/>
          </w:tcPr>
          <w:p w:rsidR="00EC032F" w:rsidRPr="007C7C73" w:rsidRDefault="00B10814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B10814"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B10814">
        <w:trPr>
          <w:trHeight w:val="478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70622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5728,548</w:t>
            </w:r>
          </w:p>
        </w:tc>
      </w:tr>
      <w:tr w:rsidR="00EC032F" w:rsidRPr="00F01B2D" w:rsidTr="00B10814">
        <w:trPr>
          <w:trHeight w:val="415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5E593A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5951,962</w:t>
            </w:r>
          </w:p>
        </w:tc>
      </w:tr>
      <w:tr w:rsidR="00EC032F" w:rsidRPr="00F01B2D" w:rsidTr="00B10814">
        <w:trPr>
          <w:trHeight w:val="42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5E593A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6190,040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B10814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574"/>
        <w:gridCol w:w="1084"/>
        <w:gridCol w:w="1354"/>
        <w:gridCol w:w="1354"/>
        <w:gridCol w:w="1354"/>
        <w:gridCol w:w="1490"/>
      </w:tblGrid>
      <w:tr w:rsidR="00AA48FB" w:rsidRPr="00F5573A" w:rsidTr="00B10814">
        <w:tc>
          <w:tcPr>
            <w:tcW w:w="327" w:type="pct"/>
            <w:vMerge w:val="restart"/>
            <w:shd w:val="clear" w:color="auto" w:fill="auto"/>
          </w:tcPr>
          <w:p w:rsidR="00AA48FB" w:rsidRPr="00F5573A" w:rsidRDefault="00B1081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B10814">
        <w:trPr>
          <w:trHeight w:val="357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B10814">
        <w:tc>
          <w:tcPr>
            <w:tcW w:w="32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A48FB" w:rsidRPr="00F5573A" w:rsidTr="00B10814">
        <w:trPr>
          <w:trHeight w:val="552"/>
        </w:trPr>
        <w:tc>
          <w:tcPr>
            <w:tcW w:w="327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B10814">
        <w:trPr>
          <w:trHeight w:val="700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B10814">
        <w:trPr>
          <w:trHeight w:val="348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B10814">
      <w:pPr>
        <w:autoSpaceDE w:val="0"/>
        <w:autoSpaceDN w:val="0"/>
        <w:adjustRightInd w:val="0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65"/>
        <w:gridCol w:w="1214"/>
        <w:gridCol w:w="944"/>
        <w:gridCol w:w="944"/>
        <w:gridCol w:w="946"/>
      </w:tblGrid>
      <w:tr w:rsidR="00AA48FB" w:rsidRPr="004468D8" w:rsidTr="00B10814">
        <w:trPr>
          <w:trHeight w:val="5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B10814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B10814"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48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B10814">
        <w:trPr>
          <w:trHeight w:val="555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B10814">
        <w:trPr>
          <w:trHeight w:val="910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B10814">
        <w:t>01</w:t>
      </w:r>
      <w:r>
        <w:t>.1</w:t>
      </w:r>
      <w:r w:rsidR="00B10814">
        <w:t>2</w:t>
      </w:r>
      <w:r>
        <w:t>.20</w:t>
      </w:r>
      <w:r w:rsidR="00F5573A">
        <w:t>20</w:t>
      </w:r>
      <w:r>
        <w:t xml:space="preserve"> </w:t>
      </w:r>
      <w:r w:rsidRPr="00EA001E">
        <w:t xml:space="preserve">№ </w:t>
      </w:r>
      <w:r w:rsidR="00F5573A">
        <w:t>ххх</w:t>
      </w: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7A6076" w:rsidRDefault="007A6076" w:rsidP="00B10814">
      <w:pPr>
        <w:autoSpaceDE w:val="0"/>
        <w:autoSpaceDN w:val="0"/>
        <w:adjustRightInd w:val="0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r>
        <w:rPr>
          <w:b/>
          <w:szCs w:val="28"/>
        </w:rPr>
        <w:t>Спецтранс</w:t>
      </w:r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7C7C73" w:rsidRDefault="00B10814" w:rsidP="00B10814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="007A6076" w:rsidRPr="004B14BE">
        <w:rPr>
          <w:b/>
          <w:bCs/>
          <w:szCs w:val="28"/>
        </w:rPr>
        <w:t xml:space="preserve">на долгосрочный период регулирования </w:t>
      </w:r>
      <w:r w:rsidR="007C7C73" w:rsidRPr="004B14BE">
        <w:rPr>
          <w:b/>
          <w:bCs/>
          <w:szCs w:val="28"/>
        </w:rPr>
        <w:t xml:space="preserve">для установления </w:t>
      </w:r>
    </w:p>
    <w:p w:rsidR="007C7C73" w:rsidRDefault="007C7C73" w:rsidP="00B10814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B14BE">
        <w:rPr>
          <w:b/>
          <w:bCs/>
          <w:szCs w:val="28"/>
        </w:rPr>
        <w:t xml:space="preserve">тарифов </w:t>
      </w:r>
      <w:r w:rsidRPr="004B14BE">
        <w:rPr>
          <w:b/>
          <w:szCs w:val="28"/>
        </w:rPr>
        <w:t xml:space="preserve">на </w:t>
      </w:r>
      <w:r>
        <w:rPr>
          <w:b/>
          <w:szCs w:val="28"/>
        </w:rPr>
        <w:t>захоронение твердых коммунальных отходов</w:t>
      </w:r>
      <w:r w:rsidRPr="004B14BE">
        <w:rPr>
          <w:b/>
          <w:bCs/>
          <w:szCs w:val="28"/>
        </w:rPr>
        <w:t xml:space="preserve"> </w:t>
      </w:r>
    </w:p>
    <w:p w:rsidR="007A6076" w:rsidRPr="004B14BE" w:rsidRDefault="00F333CD" w:rsidP="00B10814">
      <w:pPr>
        <w:widowControl w:val="0"/>
        <w:jc w:val="center"/>
        <w:rPr>
          <w:b/>
          <w:bCs/>
          <w:szCs w:val="28"/>
        </w:rPr>
      </w:pPr>
      <w:r w:rsidRPr="00F333CD">
        <w:rPr>
          <w:b/>
          <w:szCs w:val="28"/>
        </w:rPr>
        <w:t xml:space="preserve">в </w:t>
      </w:r>
      <w:r w:rsidR="00B10814" w:rsidRPr="00B10814">
        <w:rPr>
          <w:b/>
          <w:szCs w:val="28"/>
        </w:rPr>
        <w:t>Мильковском муниципальном районе (за исключением потребителей Атласовского СП)</w:t>
      </w:r>
      <w:r w:rsidR="0008279E" w:rsidRPr="00FB34A3">
        <w:rPr>
          <w:b/>
          <w:szCs w:val="28"/>
        </w:rPr>
        <w:t xml:space="preserve"> на 2021-2023 годы</w:t>
      </w:r>
    </w:p>
    <w:p w:rsidR="007A6076" w:rsidRDefault="007A6076" w:rsidP="007A6076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71"/>
        <w:gridCol w:w="1227"/>
        <w:gridCol w:w="1736"/>
        <w:gridCol w:w="1825"/>
        <w:gridCol w:w="2614"/>
      </w:tblGrid>
      <w:tr w:rsidR="007A6076" w:rsidTr="00B10814">
        <w:trPr>
          <w:cantSplit/>
          <w:trHeight w:val="1417"/>
        </w:trPr>
        <w:tc>
          <w:tcPr>
            <w:tcW w:w="266" w:type="pct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№ п/п</w:t>
            </w:r>
          </w:p>
        </w:tc>
        <w:tc>
          <w:tcPr>
            <w:tcW w:w="1130" w:type="pct"/>
            <w:vMerge w:val="restar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Наименование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регулируемой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организации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919" w:type="pc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989" w:type="pc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989" w:type="pct"/>
            <w:shd w:val="clear" w:color="auto" w:fill="auto"/>
          </w:tcPr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Показатели энергосбережения и энергоэффективности </w:t>
            </w:r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(у</w:t>
            </w:r>
            <w:r w:rsidRPr="00B3108B">
              <w:t xml:space="preserve">дельный расход </w:t>
            </w:r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</w:t>
            </w:r>
            <w:r>
              <w:t>нергетических</w:t>
            </w:r>
            <w:r w:rsidRPr="00B3108B">
              <w:t xml:space="preserve"> </w:t>
            </w:r>
          </w:p>
          <w:p w:rsidR="007A6076" w:rsidRPr="00B3108B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ресурсов) </w:t>
            </w:r>
          </w:p>
        </w:tc>
      </w:tr>
      <w:tr w:rsidR="007A6076" w:rsidTr="00B10814">
        <w:trPr>
          <w:trHeight w:val="421"/>
        </w:trPr>
        <w:tc>
          <w:tcPr>
            <w:tcW w:w="266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130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707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919" w:type="pc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989" w:type="pc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89" w:type="pct"/>
            <w:shd w:val="clear" w:color="auto" w:fill="auto"/>
          </w:tcPr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r w:rsidRPr="00B3108B">
              <w:t>ч/ куб. м</w:t>
            </w:r>
          </w:p>
        </w:tc>
      </w:tr>
      <w:tr w:rsidR="007A6076" w:rsidTr="00B10814">
        <w:trPr>
          <w:trHeight w:val="732"/>
        </w:trPr>
        <w:tc>
          <w:tcPr>
            <w:tcW w:w="266" w:type="pct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</w:pPr>
            <w:r w:rsidRPr="00B3108B">
              <w:t>1.</w:t>
            </w:r>
          </w:p>
        </w:tc>
        <w:tc>
          <w:tcPr>
            <w:tcW w:w="1130" w:type="pct"/>
            <w:vMerge w:val="restart"/>
            <w:shd w:val="clear" w:color="auto" w:fill="auto"/>
          </w:tcPr>
          <w:p w:rsidR="007A6076" w:rsidRPr="006A3D13" w:rsidRDefault="007A6076" w:rsidP="00B9566D">
            <w:pPr>
              <w:widowControl w:val="0"/>
              <w:ind w:left="-113" w:right="-113"/>
              <w:jc w:val="center"/>
            </w:pPr>
            <w:r>
              <w:t>ГУП</w:t>
            </w:r>
            <w:r w:rsidRPr="006A3D13">
              <w:t xml:space="preserve"> «</w:t>
            </w:r>
            <w:r>
              <w:t>Спецтранс</w:t>
            </w:r>
            <w:r w:rsidRPr="006A3D13">
              <w:t>»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A6076" w:rsidRPr="006D3960" w:rsidRDefault="005E593A" w:rsidP="00B9566D">
            <w:pPr>
              <w:jc w:val="center"/>
              <w:rPr>
                <w:bCs/>
              </w:rPr>
            </w:pPr>
            <w:r>
              <w:rPr>
                <w:bCs/>
              </w:rPr>
              <w:t>5381,454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2865AF" w:rsidRDefault="007A6076" w:rsidP="00B9566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10814">
        <w:trPr>
          <w:trHeight w:val="868"/>
        </w:trPr>
        <w:tc>
          <w:tcPr>
            <w:tcW w:w="266" w:type="pct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130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A6076" w:rsidRPr="006D3960" w:rsidRDefault="005E593A" w:rsidP="00B9566D">
            <w:pPr>
              <w:jc w:val="center"/>
              <w:rPr>
                <w:bCs/>
              </w:rPr>
            </w:pPr>
            <w:r>
              <w:rPr>
                <w:bCs/>
              </w:rPr>
              <w:t>5381,454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10814">
        <w:trPr>
          <w:trHeight w:val="862"/>
        </w:trPr>
        <w:tc>
          <w:tcPr>
            <w:tcW w:w="266" w:type="pct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130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A6076" w:rsidRPr="006D3960" w:rsidRDefault="005E593A" w:rsidP="00B9566D">
            <w:pPr>
              <w:jc w:val="center"/>
              <w:rPr>
                <w:bCs/>
              </w:rPr>
            </w:pPr>
            <w:r>
              <w:rPr>
                <w:bCs/>
              </w:rPr>
              <w:t>5381,454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7A6076" w:rsidRPr="009D31B9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B34A3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>
        <w:rPr>
          <w:rFonts w:cs="Calibri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0814">
        <w:t>01</w:t>
      </w:r>
      <w:r w:rsidRPr="006A1F99">
        <w:t>.1</w:t>
      </w:r>
      <w:r w:rsidR="00B10814">
        <w:t>2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992DD4" w:rsidRDefault="00992DD4" w:rsidP="00B1081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D901A4" w:rsidP="00B108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F333CD" w:rsidRPr="00F333CD">
        <w:rPr>
          <w:b/>
          <w:szCs w:val="28"/>
        </w:rPr>
        <w:t xml:space="preserve">в </w:t>
      </w:r>
      <w:r w:rsidR="00B10814" w:rsidRPr="00B10814">
        <w:rPr>
          <w:b/>
          <w:szCs w:val="28"/>
        </w:rPr>
        <w:t>Мильковском муниципальном районе (за исключением потребителей Атласовского СП)</w:t>
      </w:r>
      <w:r w:rsidRPr="00FB34A3">
        <w:rPr>
          <w:b/>
          <w:szCs w:val="28"/>
        </w:rPr>
        <w:t xml:space="preserve">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8279E" w:rsidRPr="007C6E72" w:rsidTr="00B1081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D901A4" w:rsidRPr="007C6E72" w:rsidTr="00B1081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E593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226,845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E593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226,845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E593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235,692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E593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235,692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E593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245,119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5E593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245,119</w:t>
            </w:r>
            <w:bookmarkStart w:id="0" w:name="_GoBack"/>
            <w:bookmarkEnd w:id="0"/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F0" w:rsidRDefault="004961F0" w:rsidP="00342D13">
      <w:r>
        <w:separator/>
      </w:r>
    </w:p>
  </w:endnote>
  <w:endnote w:type="continuationSeparator" w:id="0">
    <w:p w:rsidR="004961F0" w:rsidRDefault="004961F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F0" w:rsidRDefault="004961F0" w:rsidP="00342D13">
      <w:r>
        <w:separator/>
      </w:r>
    </w:p>
  </w:footnote>
  <w:footnote w:type="continuationSeparator" w:id="0">
    <w:p w:rsidR="004961F0" w:rsidRDefault="004961F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961F0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593A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0622E"/>
    <w:rsid w:val="007120E9"/>
    <w:rsid w:val="0072115F"/>
    <w:rsid w:val="00733DC4"/>
    <w:rsid w:val="00734353"/>
    <w:rsid w:val="00747197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0814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3CD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28FA3-6711-455A-A5AD-6B7AF4B4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9A51-6C86-4965-84C2-BCF5F4F7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6805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5</cp:revision>
  <cp:lastPrinted>2020-05-08T01:33:00Z</cp:lastPrinted>
  <dcterms:created xsi:type="dcterms:W3CDTF">2020-11-15T11:27:00Z</dcterms:created>
  <dcterms:modified xsi:type="dcterms:W3CDTF">2020-11-20T22:48:00Z</dcterms:modified>
</cp:coreProperties>
</file>