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1428A3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1428A3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1428A3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1428A3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7066D7" w:rsidTr="005277C0">
        <w:tc>
          <w:tcPr>
            <w:tcW w:w="4717" w:type="dxa"/>
          </w:tcPr>
          <w:p w:rsidR="00D8004F" w:rsidRPr="005940BC" w:rsidRDefault="005940BC" w:rsidP="000C4733">
            <w:pPr>
              <w:ind w:left="-108"/>
              <w:jc w:val="both"/>
            </w:pPr>
            <w:r w:rsidRPr="005940BC">
              <w:t>О внесении изменений в приложения 1 – 2 к постановлению Региональной службы по тарифа</w:t>
            </w:r>
            <w:r w:rsidR="003A6981">
              <w:t>м и ценам Камчатского края от 26</w:t>
            </w:r>
            <w:r w:rsidRPr="005940BC">
              <w:t>.12.2019 № 4</w:t>
            </w:r>
            <w:r w:rsidR="003A6981">
              <w:t>5</w:t>
            </w:r>
            <w:r w:rsidR="000C4733">
              <w:t>3</w:t>
            </w:r>
            <w:r w:rsidRPr="005940BC">
              <w:t xml:space="preserve"> «</w:t>
            </w:r>
            <w:r w:rsidR="000C4733" w:rsidRPr="000C4733">
              <w:t>Об утверждении цен (тарифов) на электрическую энергию, поставляемую ООО «</w:t>
            </w:r>
            <w:proofErr w:type="spellStart"/>
            <w:r w:rsidR="000C4733" w:rsidRPr="000C4733">
              <w:t>Пенжинская</w:t>
            </w:r>
            <w:proofErr w:type="spellEnd"/>
            <w:r w:rsidR="000C4733" w:rsidRPr="000C4733">
              <w:t xml:space="preserve"> горная компания» 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="000C4733" w:rsidRPr="000C4733">
              <w:t>Пенжинского</w:t>
            </w:r>
            <w:proofErr w:type="spellEnd"/>
            <w:r w:rsidR="000C4733" w:rsidRPr="000C4733">
              <w:t xml:space="preserve"> муниципального района Камчатского края, месторождение «Ясный-</w:t>
            </w:r>
            <w:proofErr w:type="spellStart"/>
            <w:r w:rsidR="000C4733" w:rsidRPr="000C4733">
              <w:t>Коровинский</w:t>
            </w:r>
            <w:proofErr w:type="spellEnd"/>
            <w:r w:rsidR="000C4733" w:rsidRPr="000C4733">
              <w:t>», на 2020-2022 годы</w:t>
            </w:r>
            <w:r w:rsidRPr="005940BC">
              <w:rPr>
                <w:bCs/>
              </w:rPr>
              <w:t>»</w:t>
            </w:r>
          </w:p>
        </w:tc>
      </w:tr>
    </w:tbl>
    <w:p w:rsidR="00D8004F" w:rsidRPr="007066D7" w:rsidRDefault="00D8004F" w:rsidP="00D8004F">
      <w:pPr>
        <w:ind w:firstLine="709"/>
        <w:jc w:val="both"/>
        <w:rPr>
          <w:sz w:val="28"/>
          <w:szCs w:val="28"/>
        </w:rPr>
      </w:pPr>
    </w:p>
    <w:p w:rsidR="00183B57" w:rsidRPr="00BE57A3" w:rsidRDefault="00E72920" w:rsidP="00183B57">
      <w:pPr>
        <w:ind w:firstLine="709"/>
        <w:jc w:val="both"/>
        <w:rPr>
          <w:sz w:val="28"/>
          <w:szCs w:val="28"/>
        </w:rPr>
      </w:pPr>
      <w:r w:rsidRPr="005940BC">
        <w:rPr>
          <w:sz w:val="28"/>
          <w:szCs w:val="28"/>
          <w:highlight w:val="yellow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электроэнергетике, </w:t>
      </w:r>
      <w:r w:rsidR="00E3248C" w:rsidRPr="005940BC">
        <w:rPr>
          <w:sz w:val="28"/>
          <w:szCs w:val="28"/>
          <w:highlight w:val="yellow"/>
        </w:rPr>
        <w:t>приказами Федеральной антимонопольной службы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квалифицированных генерирующих объектах»</w:t>
      </w:r>
      <w:r w:rsidRPr="005940BC">
        <w:rPr>
          <w:sz w:val="28"/>
          <w:szCs w:val="28"/>
          <w:highlight w:val="yellow"/>
        </w:rPr>
        <w:t xml:space="preserve">, </w:t>
      </w:r>
      <w:r w:rsidR="00D6030F" w:rsidRPr="005940BC">
        <w:rPr>
          <w:sz w:val="28"/>
          <w:szCs w:val="28"/>
          <w:highlight w:val="yellow"/>
        </w:rPr>
        <w:t xml:space="preserve">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</w:t>
      </w:r>
      <w:r w:rsidRPr="005940BC">
        <w:rPr>
          <w:sz w:val="28"/>
          <w:szCs w:val="28"/>
          <w:highlight w:val="yellow"/>
        </w:rPr>
        <w:t>от 19.06.2018 № 834/18 «</w:t>
      </w:r>
      <w:r w:rsidR="00C048A7" w:rsidRPr="005940BC">
        <w:rPr>
          <w:sz w:val="28"/>
          <w:szCs w:val="28"/>
          <w:highlight w:val="yellow"/>
        </w:rPr>
        <w:t xml:space="preserve">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</w:t>
      </w:r>
      <w:r w:rsidR="00C048A7" w:rsidRPr="005940BC">
        <w:rPr>
          <w:sz w:val="28"/>
          <w:szCs w:val="28"/>
          <w:highlight w:val="yellow"/>
        </w:rPr>
        <w:lastRenderedPageBreak/>
        <w:t>государственного регулирования тарифов</w:t>
      </w:r>
      <w:r w:rsidRPr="005940BC">
        <w:rPr>
          <w:sz w:val="28"/>
          <w:szCs w:val="28"/>
          <w:highlight w:val="yellow"/>
        </w:rPr>
        <w:t xml:space="preserve">», </w:t>
      </w:r>
      <w:r w:rsidR="00101353" w:rsidRPr="005940BC">
        <w:rPr>
          <w:sz w:val="28"/>
          <w:szCs w:val="28"/>
          <w:highlight w:val="yellow"/>
        </w:rPr>
        <w:t xml:space="preserve">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</w:t>
      </w:r>
      <w:r w:rsidRPr="005940BC">
        <w:rPr>
          <w:sz w:val="28"/>
          <w:szCs w:val="28"/>
          <w:highlight w:val="yellow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</w:t>
      </w:r>
      <w:r w:rsidR="00183B57" w:rsidRPr="005940BC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>
        <w:rPr>
          <w:sz w:val="28"/>
          <w:szCs w:val="28"/>
          <w:highlight w:val="yellow"/>
        </w:rPr>
        <w:t>ХХ</w:t>
      </w:r>
      <w:r w:rsidR="00183B57" w:rsidRPr="005940BC">
        <w:rPr>
          <w:sz w:val="28"/>
          <w:szCs w:val="28"/>
          <w:highlight w:val="yellow"/>
        </w:rPr>
        <w:t>.1</w:t>
      </w:r>
      <w:r w:rsidR="005940BC">
        <w:rPr>
          <w:sz w:val="28"/>
          <w:szCs w:val="28"/>
          <w:highlight w:val="yellow"/>
        </w:rPr>
        <w:t>1</w:t>
      </w:r>
      <w:r w:rsidR="00183B57" w:rsidRPr="005940BC">
        <w:rPr>
          <w:sz w:val="28"/>
          <w:szCs w:val="28"/>
          <w:highlight w:val="yellow"/>
        </w:rPr>
        <w:t>.20</w:t>
      </w:r>
      <w:r w:rsidR="005940BC">
        <w:rPr>
          <w:sz w:val="28"/>
          <w:szCs w:val="28"/>
          <w:highlight w:val="yellow"/>
        </w:rPr>
        <w:t>20</w:t>
      </w:r>
      <w:r w:rsidR="00183B57" w:rsidRPr="005940BC">
        <w:rPr>
          <w:sz w:val="28"/>
          <w:szCs w:val="28"/>
          <w:highlight w:val="yellow"/>
        </w:rPr>
        <w:t xml:space="preserve"> № </w:t>
      </w:r>
      <w:r w:rsidR="005940BC">
        <w:rPr>
          <w:sz w:val="28"/>
          <w:szCs w:val="28"/>
        </w:rPr>
        <w:t>ХХ</w:t>
      </w:r>
    </w:p>
    <w:p w:rsidR="00D8004F" w:rsidRDefault="00D8004F" w:rsidP="00D8004F">
      <w:pPr>
        <w:ind w:firstLine="709"/>
        <w:jc w:val="both"/>
        <w:rPr>
          <w:sz w:val="28"/>
          <w:szCs w:val="28"/>
        </w:rPr>
      </w:pPr>
    </w:p>
    <w:p w:rsidR="00D8004F" w:rsidRDefault="00D8004F" w:rsidP="00D8004F">
      <w:pPr>
        <w:ind w:firstLine="709"/>
        <w:jc w:val="both"/>
        <w:rPr>
          <w:sz w:val="28"/>
          <w:szCs w:val="28"/>
        </w:rPr>
      </w:pPr>
      <w:r w:rsidRPr="00226501">
        <w:rPr>
          <w:sz w:val="28"/>
          <w:szCs w:val="28"/>
        </w:rPr>
        <w:t>ПОСТАНОВЛЯЮ:</w:t>
      </w:r>
    </w:p>
    <w:p w:rsidR="007631B5" w:rsidRPr="00226501" w:rsidRDefault="007631B5" w:rsidP="00D8004F">
      <w:pPr>
        <w:ind w:firstLine="709"/>
        <w:jc w:val="both"/>
        <w:rPr>
          <w:sz w:val="28"/>
          <w:szCs w:val="28"/>
        </w:rPr>
      </w:pPr>
    </w:p>
    <w:p w:rsidR="005940BC" w:rsidRPr="005940BC" w:rsidRDefault="005940BC" w:rsidP="005940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5940BC">
        <w:rPr>
          <w:rFonts w:eastAsia="Calibri"/>
          <w:sz w:val="28"/>
          <w:szCs w:val="28"/>
          <w:highlight w:val="yellow"/>
        </w:rPr>
        <w:t xml:space="preserve">1. Внести в приложения 1 – 2 к постановлению Региональной службы по тарифам и ценам Камчатского края от </w:t>
      </w:r>
      <w:r w:rsidR="003A6981">
        <w:rPr>
          <w:rFonts w:eastAsia="Calibri"/>
          <w:sz w:val="28"/>
          <w:szCs w:val="28"/>
          <w:highlight w:val="yellow"/>
        </w:rPr>
        <w:t>26</w:t>
      </w:r>
      <w:r w:rsidRPr="005940BC">
        <w:rPr>
          <w:rFonts w:eastAsia="Calibri"/>
          <w:sz w:val="28"/>
          <w:szCs w:val="28"/>
          <w:highlight w:val="yellow"/>
        </w:rPr>
        <w:t>.12.2019 № 4</w:t>
      </w:r>
      <w:r w:rsidR="003A6981">
        <w:rPr>
          <w:rFonts w:eastAsia="Calibri"/>
          <w:sz w:val="28"/>
          <w:szCs w:val="28"/>
          <w:highlight w:val="yellow"/>
        </w:rPr>
        <w:t>5</w:t>
      </w:r>
      <w:r w:rsidR="000C4733">
        <w:rPr>
          <w:rFonts w:eastAsia="Calibri"/>
          <w:sz w:val="28"/>
          <w:szCs w:val="28"/>
          <w:highlight w:val="yellow"/>
        </w:rPr>
        <w:t>3</w:t>
      </w:r>
      <w:r w:rsidRPr="005940BC">
        <w:rPr>
          <w:rFonts w:eastAsia="Calibri"/>
          <w:sz w:val="28"/>
          <w:szCs w:val="28"/>
          <w:highlight w:val="yellow"/>
        </w:rPr>
        <w:t xml:space="preserve"> «</w:t>
      </w:r>
      <w:r w:rsidR="000C4733" w:rsidRPr="000C4733">
        <w:rPr>
          <w:rFonts w:eastAsia="Calibri"/>
          <w:sz w:val="28"/>
          <w:szCs w:val="28"/>
          <w:highlight w:val="yellow"/>
        </w:rPr>
        <w:t>Об утверждении цен (тарифов) на электрическую энергию, поставляемую ООО «</w:t>
      </w:r>
      <w:proofErr w:type="spellStart"/>
      <w:r w:rsidR="000C4733" w:rsidRPr="000C4733">
        <w:rPr>
          <w:rFonts w:eastAsia="Calibri"/>
          <w:sz w:val="28"/>
          <w:szCs w:val="28"/>
          <w:highlight w:val="yellow"/>
        </w:rPr>
        <w:t>Пенжинская</w:t>
      </w:r>
      <w:proofErr w:type="spellEnd"/>
      <w:r w:rsidR="000C4733" w:rsidRPr="000C4733">
        <w:rPr>
          <w:rFonts w:eastAsia="Calibri"/>
          <w:sz w:val="28"/>
          <w:szCs w:val="28"/>
          <w:highlight w:val="yellow"/>
        </w:rPr>
        <w:t xml:space="preserve"> горная компания» по объектам электроснабжения горнодобывающих предприятий, осуществляющих деятельность на территории </w:t>
      </w:r>
      <w:proofErr w:type="spellStart"/>
      <w:r w:rsidR="000C4733" w:rsidRPr="000C4733">
        <w:rPr>
          <w:rFonts w:eastAsia="Calibri"/>
          <w:sz w:val="28"/>
          <w:szCs w:val="28"/>
          <w:highlight w:val="yellow"/>
        </w:rPr>
        <w:t>Пенжинского</w:t>
      </w:r>
      <w:proofErr w:type="spellEnd"/>
      <w:r w:rsidR="000C4733" w:rsidRPr="000C4733">
        <w:rPr>
          <w:rFonts w:eastAsia="Calibri"/>
          <w:sz w:val="28"/>
          <w:szCs w:val="28"/>
          <w:highlight w:val="yellow"/>
        </w:rPr>
        <w:t xml:space="preserve"> муниципального района Камчатского края, месторождение «Ясный-</w:t>
      </w:r>
      <w:proofErr w:type="spellStart"/>
      <w:r w:rsidR="000C4733" w:rsidRPr="000C4733">
        <w:rPr>
          <w:rFonts w:eastAsia="Calibri"/>
          <w:sz w:val="28"/>
          <w:szCs w:val="28"/>
          <w:highlight w:val="yellow"/>
        </w:rPr>
        <w:t>Коровинский</w:t>
      </w:r>
      <w:proofErr w:type="spellEnd"/>
      <w:r w:rsidR="000C4733" w:rsidRPr="000C4733">
        <w:rPr>
          <w:rFonts w:eastAsia="Calibri"/>
          <w:sz w:val="28"/>
          <w:szCs w:val="28"/>
          <w:highlight w:val="yellow"/>
        </w:rPr>
        <w:t>», на 2020-2022 годы</w:t>
      </w:r>
      <w:r w:rsidRPr="003A6981">
        <w:rPr>
          <w:rFonts w:eastAsia="Calibri"/>
          <w:sz w:val="28"/>
          <w:szCs w:val="28"/>
          <w:highlight w:val="yellow"/>
        </w:rPr>
        <w:t xml:space="preserve">» </w:t>
      </w:r>
      <w:r w:rsidRPr="005940BC">
        <w:rPr>
          <w:rFonts w:eastAsia="Calibri"/>
          <w:sz w:val="28"/>
          <w:szCs w:val="28"/>
          <w:highlight w:val="yellow"/>
        </w:rPr>
        <w:t>изменения, изложив их в редакции, согласно приложениям 1 – 2 к настоящему постановлению.</w:t>
      </w:r>
    </w:p>
    <w:p w:rsidR="00D8004F" w:rsidRDefault="005940BC" w:rsidP="00D8004F">
      <w:pPr>
        <w:ind w:firstLine="709"/>
        <w:jc w:val="both"/>
        <w:rPr>
          <w:sz w:val="28"/>
          <w:szCs w:val="28"/>
        </w:rPr>
      </w:pPr>
      <w:r w:rsidRPr="005940BC">
        <w:rPr>
          <w:bCs/>
          <w:sz w:val="28"/>
          <w:szCs w:val="28"/>
          <w:highlight w:val="yellow"/>
        </w:rPr>
        <w:t>2</w:t>
      </w:r>
      <w:r w:rsidR="009F0E7F" w:rsidRPr="005940BC">
        <w:rPr>
          <w:bCs/>
          <w:sz w:val="28"/>
          <w:szCs w:val="28"/>
          <w:highlight w:val="yellow"/>
        </w:rPr>
        <w:t>.</w:t>
      </w:r>
      <w:r w:rsidR="000E5BB4" w:rsidRPr="005940BC">
        <w:rPr>
          <w:bCs/>
          <w:sz w:val="28"/>
          <w:szCs w:val="28"/>
          <w:highlight w:val="yellow"/>
        </w:rPr>
        <w:t xml:space="preserve"> </w:t>
      </w:r>
      <w:r w:rsidR="00D6030F" w:rsidRPr="005940BC">
        <w:rPr>
          <w:sz w:val="28"/>
          <w:szCs w:val="28"/>
          <w:highlight w:val="yellow"/>
        </w:rPr>
        <w:t>Настоящее постановление вступает в силу со дня его официального опубликования.</w:t>
      </w:r>
    </w:p>
    <w:p w:rsidR="00D8004F" w:rsidRDefault="00D8004F" w:rsidP="00D8004F">
      <w:pPr>
        <w:ind w:firstLine="709"/>
        <w:jc w:val="both"/>
        <w:rPr>
          <w:sz w:val="28"/>
          <w:szCs w:val="28"/>
        </w:rPr>
      </w:pPr>
    </w:p>
    <w:p w:rsidR="00D6030F" w:rsidRDefault="00D6030F" w:rsidP="00D8004F">
      <w:pPr>
        <w:ind w:firstLine="709"/>
        <w:jc w:val="both"/>
        <w:rPr>
          <w:sz w:val="28"/>
          <w:szCs w:val="28"/>
        </w:rPr>
      </w:pPr>
    </w:p>
    <w:p w:rsidR="007631B5" w:rsidRDefault="007631B5" w:rsidP="007631B5">
      <w:pPr>
        <w:jc w:val="both"/>
        <w:rPr>
          <w:sz w:val="28"/>
          <w:szCs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5940BC" w:rsidTr="001428A3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5940BC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5940BC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5940BC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4C01D5" w:rsidRDefault="004C01D5" w:rsidP="004C01D5">
      <w:pPr>
        <w:widowControl w:val="0"/>
        <w:ind w:left="9356"/>
        <w:rPr>
          <w:rFonts w:eastAsia="Calibri"/>
          <w:sz w:val="28"/>
        </w:rPr>
        <w:sectPr w:rsidR="004C01D5" w:rsidSect="00E729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lastRenderedPageBreak/>
        <w:t>Приложение 1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к постановлению Региональной службы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по тарифам и ценам Камчатского края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от ХХ.11.2020 № ХХХ</w:t>
      </w:r>
    </w:p>
    <w:p w:rsidR="005940BC" w:rsidRDefault="005940BC" w:rsidP="004C01D5">
      <w:pPr>
        <w:widowControl w:val="0"/>
        <w:ind w:left="9356"/>
        <w:rPr>
          <w:rFonts w:eastAsia="Calibri"/>
          <w:sz w:val="28"/>
        </w:rPr>
      </w:pPr>
    </w:p>
    <w:p w:rsidR="004C01D5" w:rsidRPr="005940BC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>«</w:t>
      </w:r>
      <w:r w:rsidR="004C01D5" w:rsidRPr="005940BC">
        <w:rPr>
          <w:rFonts w:eastAsia="Calibri"/>
          <w:sz w:val="28"/>
          <w:highlight w:val="yellow"/>
        </w:rPr>
        <w:t>Приложение 1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>к постановлению Региональной службы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 xml:space="preserve">по тарифам и ценам Камчатского края 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 xml:space="preserve">от </w:t>
      </w:r>
      <w:r w:rsidR="003A6981">
        <w:rPr>
          <w:rFonts w:eastAsia="Calibri"/>
          <w:sz w:val="28"/>
          <w:highlight w:val="yellow"/>
        </w:rPr>
        <w:t>26</w:t>
      </w:r>
      <w:r w:rsidRPr="005940BC">
        <w:rPr>
          <w:rFonts w:eastAsia="Calibri"/>
          <w:sz w:val="28"/>
          <w:highlight w:val="yellow"/>
        </w:rPr>
        <w:t xml:space="preserve">.12.2019 № </w:t>
      </w:r>
      <w:r w:rsidR="00A16BF4" w:rsidRPr="005940BC">
        <w:rPr>
          <w:rFonts w:eastAsia="Calibri"/>
          <w:sz w:val="28"/>
          <w:highlight w:val="yellow"/>
        </w:rPr>
        <w:t>4</w:t>
      </w:r>
      <w:r w:rsidR="003A6981">
        <w:rPr>
          <w:rFonts w:eastAsia="Calibri"/>
          <w:sz w:val="28"/>
          <w:highlight w:val="yellow"/>
        </w:rPr>
        <w:t>5</w:t>
      </w:r>
      <w:r w:rsidR="000C4733">
        <w:rPr>
          <w:rFonts w:eastAsia="Calibri"/>
          <w:sz w:val="28"/>
          <w:highlight w:val="yellow"/>
        </w:rPr>
        <w:t>3</w:t>
      </w:r>
    </w:p>
    <w:p w:rsidR="004C01D5" w:rsidRPr="005940BC" w:rsidRDefault="004C01D5" w:rsidP="004C01D5">
      <w:pPr>
        <w:widowControl w:val="0"/>
        <w:ind w:left="-426"/>
        <w:jc w:val="center"/>
        <w:rPr>
          <w:rFonts w:eastAsia="Calibri"/>
          <w:sz w:val="28"/>
          <w:szCs w:val="28"/>
          <w:highlight w:val="yellow"/>
        </w:rPr>
      </w:pPr>
    </w:p>
    <w:p w:rsidR="004C01D5" w:rsidRPr="000C4733" w:rsidRDefault="000C4733" w:rsidP="004C01D5">
      <w:pPr>
        <w:widowControl w:val="0"/>
        <w:jc w:val="center"/>
        <w:rPr>
          <w:rFonts w:eastAsia="Calibri"/>
          <w:bCs/>
          <w:sz w:val="20"/>
          <w:szCs w:val="20"/>
          <w:highlight w:val="yellow"/>
        </w:rPr>
      </w:pPr>
      <w:r w:rsidRPr="000C4733">
        <w:rPr>
          <w:highlight w:val="yellow"/>
        </w:rPr>
        <w:t>Долгосрочные параметры регулирования, устанавливаемые для формирования тарифов с использованием метода долгосрочной индексации необходимой валовой выручки на 2020-2022 годы, в отношении деятельности ООО «</w:t>
      </w:r>
      <w:proofErr w:type="spellStart"/>
      <w:r w:rsidRPr="000C4733">
        <w:rPr>
          <w:highlight w:val="yellow"/>
        </w:rPr>
        <w:t>Пенжинская</w:t>
      </w:r>
      <w:proofErr w:type="spellEnd"/>
      <w:r w:rsidRPr="000C4733">
        <w:rPr>
          <w:highlight w:val="yellow"/>
        </w:rPr>
        <w:t xml:space="preserve"> горная компания» по объектам электроснабжения горнодобывающих предприятий, осуществляющих деятельность на территории </w:t>
      </w:r>
      <w:proofErr w:type="spellStart"/>
      <w:r w:rsidRPr="000C4733">
        <w:rPr>
          <w:highlight w:val="yellow"/>
        </w:rPr>
        <w:t>Пенжинского</w:t>
      </w:r>
      <w:proofErr w:type="spellEnd"/>
      <w:r w:rsidRPr="000C4733">
        <w:rPr>
          <w:highlight w:val="yellow"/>
        </w:rPr>
        <w:t xml:space="preserve"> муниципального района Камчатского края, месторождение «Ясный-</w:t>
      </w:r>
      <w:proofErr w:type="spellStart"/>
      <w:r w:rsidRPr="000C4733">
        <w:rPr>
          <w:highlight w:val="yellow"/>
        </w:rPr>
        <w:t>Коровинский</w:t>
      </w:r>
      <w:proofErr w:type="spellEnd"/>
      <w:r w:rsidRPr="000C4733">
        <w:rPr>
          <w:highlight w:val="yellow"/>
        </w:rPr>
        <w:t>»,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5"/>
        <w:gridCol w:w="1417"/>
        <w:gridCol w:w="1985"/>
        <w:gridCol w:w="2323"/>
        <w:gridCol w:w="1701"/>
        <w:gridCol w:w="1701"/>
      </w:tblGrid>
      <w:tr w:rsidR="004C01D5" w:rsidRPr="005940BC" w:rsidTr="00836580">
        <w:trPr>
          <w:trHeight w:val="423"/>
          <w:jc w:val="center"/>
        </w:trPr>
        <w:tc>
          <w:tcPr>
            <w:tcW w:w="510" w:type="dxa"/>
            <w:vMerge w:val="restart"/>
          </w:tcPr>
          <w:p w:rsidR="004C01D5" w:rsidRPr="003A6981" w:rsidRDefault="005940BC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3A6981">
              <w:rPr>
                <w:sz w:val="20"/>
                <w:szCs w:val="20"/>
                <w:highlight w:val="yellow"/>
              </w:rPr>
              <w:t>№</w:t>
            </w:r>
            <w:r w:rsidR="004C01D5" w:rsidRPr="003A6981">
              <w:rPr>
                <w:sz w:val="20"/>
                <w:szCs w:val="20"/>
                <w:highlight w:val="yellow"/>
              </w:rPr>
              <w:t xml:space="preserve"> п/п</w:t>
            </w:r>
          </w:p>
        </w:tc>
        <w:tc>
          <w:tcPr>
            <w:tcW w:w="5105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417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402" w:type="dxa"/>
            <w:gridSpan w:val="2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4C01D5" w:rsidRPr="005940BC" w:rsidTr="00836580">
        <w:trPr>
          <w:trHeight w:val="77"/>
          <w:jc w:val="center"/>
        </w:trPr>
        <w:tc>
          <w:tcPr>
            <w:tcW w:w="510" w:type="dxa"/>
            <w:vMerge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05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удельный расход условного топлива</w:t>
            </w:r>
          </w:p>
        </w:tc>
        <w:tc>
          <w:tcPr>
            <w:tcW w:w="1701" w:type="dxa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иные показатели</w:t>
            </w:r>
          </w:p>
        </w:tc>
      </w:tr>
      <w:tr w:rsidR="004C01D5" w:rsidRPr="005940BC" w:rsidTr="00836580">
        <w:trPr>
          <w:jc w:val="center"/>
        </w:trPr>
        <w:tc>
          <w:tcPr>
            <w:tcW w:w="510" w:type="dxa"/>
            <w:vMerge/>
          </w:tcPr>
          <w:p w:rsidR="004C01D5" w:rsidRPr="003A6981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4C01D5" w:rsidRPr="003A6981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4C01D5" w:rsidRPr="003A6981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4C01D5" w:rsidRPr="005940BC" w:rsidTr="00836580">
        <w:trPr>
          <w:jc w:val="center"/>
        </w:trPr>
        <w:tc>
          <w:tcPr>
            <w:tcW w:w="510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05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17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985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323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7</w:t>
            </w:r>
          </w:p>
        </w:tc>
      </w:tr>
      <w:tr w:rsidR="000C4733" w:rsidRPr="005940BC" w:rsidTr="000E5BB4">
        <w:trPr>
          <w:trHeight w:val="732"/>
          <w:jc w:val="center"/>
        </w:trPr>
        <w:tc>
          <w:tcPr>
            <w:tcW w:w="510" w:type="dxa"/>
            <w:vMerge w:val="restart"/>
            <w:vAlign w:val="center"/>
          </w:tcPr>
          <w:p w:rsidR="000C4733" w:rsidRPr="003A6981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05" w:type="dxa"/>
            <w:vMerge w:val="restart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ООО «</w:t>
            </w:r>
            <w:proofErr w:type="spellStart"/>
            <w:r w:rsidRPr="000C4733">
              <w:rPr>
                <w:sz w:val="20"/>
                <w:szCs w:val="20"/>
                <w:highlight w:val="yellow"/>
              </w:rPr>
              <w:t>Пенжинская</w:t>
            </w:r>
            <w:proofErr w:type="spellEnd"/>
            <w:r w:rsidRPr="000C4733">
              <w:rPr>
                <w:sz w:val="20"/>
                <w:szCs w:val="20"/>
                <w:highlight w:val="yellow"/>
              </w:rPr>
              <w:t xml:space="preserve"> горная компания» (по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Pr="000C4733">
              <w:rPr>
                <w:sz w:val="20"/>
                <w:szCs w:val="20"/>
                <w:highlight w:val="yellow"/>
              </w:rPr>
              <w:t>Пенжинского</w:t>
            </w:r>
            <w:proofErr w:type="spellEnd"/>
            <w:r w:rsidRPr="000C4733">
              <w:rPr>
                <w:sz w:val="20"/>
                <w:szCs w:val="20"/>
                <w:highlight w:val="yellow"/>
              </w:rPr>
              <w:t xml:space="preserve"> муниципального района Камчатского края, месторождение «Ясный-</w:t>
            </w:r>
            <w:proofErr w:type="spellStart"/>
            <w:r w:rsidRPr="000C4733">
              <w:rPr>
                <w:sz w:val="20"/>
                <w:szCs w:val="20"/>
                <w:highlight w:val="yellow"/>
              </w:rPr>
              <w:t>Коровинский</w:t>
            </w:r>
            <w:proofErr w:type="spellEnd"/>
            <w:r w:rsidRPr="000C4733">
              <w:rPr>
                <w:sz w:val="20"/>
                <w:szCs w:val="20"/>
                <w:highlight w:val="yellow"/>
              </w:rPr>
              <w:t>»)</w:t>
            </w:r>
          </w:p>
        </w:tc>
        <w:tc>
          <w:tcPr>
            <w:tcW w:w="1417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rFonts w:eastAsia="Calibri"/>
                <w:sz w:val="20"/>
                <w:szCs w:val="20"/>
                <w:highlight w:val="yellow"/>
              </w:rPr>
              <w:t>47,674</w:t>
            </w:r>
          </w:p>
        </w:tc>
        <w:tc>
          <w:tcPr>
            <w:tcW w:w="2323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0C4733" w:rsidRPr="005940BC" w:rsidTr="000E5BB4">
        <w:trPr>
          <w:trHeight w:val="647"/>
          <w:jc w:val="center"/>
        </w:trPr>
        <w:tc>
          <w:tcPr>
            <w:tcW w:w="510" w:type="dxa"/>
            <w:vMerge/>
          </w:tcPr>
          <w:p w:rsidR="000C4733" w:rsidRPr="003A6981" w:rsidRDefault="000C4733" w:rsidP="000C4733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0C4733" w:rsidRPr="000C4733" w:rsidRDefault="000C4733" w:rsidP="000C4733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4733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1 %</w:t>
            </w:r>
          </w:p>
        </w:tc>
        <w:tc>
          <w:tcPr>
            <w:tcW w:w="1701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0C4733" w:rsidRPr="005940BC" w:rsidTr="00836580">
        <w:trPr>
          <w:trHeight w:val="285"/>
          <w:jc w:val="center"/>
        </w:trPr>
        <w:tc>
          <w:tcPr>
            <w:tcW w:w="510" w:type="dxa"/>
            <w:vMerge/>
          </w:tcPr>
          <w:p w:rsidR="000C4733" w:rsidRPr="003A6981" w:rsidRDefault="000C4733" w:rsidP="000C4733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0C4733" w:rsidRPr="000C4733" w:rsidRDefault="000C4733" w:rsidP="000C4733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2022 год</w:t>
            </w:r>
          </w:p>
        </w:tc>
        <w:tc>
          <w:tcPr>
            <w:tcW w:w="1985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0C4733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1 %</w:t>
            </w:r>
          </w:p>
        </w:tc>
        <w:tc>
          <w:tcPr>
            <w:tcW w:w="1701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0C4733" w:rsidRPr="000C4733" w:rsidRDefault="000C4733" w:rsidP="000C47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0C4733">
              <w:rPr>
                <w:sz w:val="20"/>
                <w:szCs w:val="20"/>
                <w:highlight w:val="yellow"/>
              </w:rPr>
              <w:t>-</w:t>
            </w:r>
          </w:p>
        </w:tc>
      </w:tr>
    </w:tbl>
    <w:p w:rsidR="005940BC" w:rsidRPr="005940BC" w:rsidRDefault="005940BC" w:rsidP="005940BC">
      <w:pPr>
        <w:widowControl w:val="0"/>
        <w:ind w:left="-426"/>
        <w:jc w:val="right"/>
        <w:rPr>
          <w:rFonts w:eastAsia="Calibri"/>
          <w:highlight w:val="yellow"/>
        </w:rPr>
      </w:pPr>
      <w:r w:rsidRPr="005940BC">
        <w:rPr>
          <w:rFonts w:eastAsia="Calibri"/>
          <w:highlight w:val="yellow"/>
        </w:rPr>
        <w:t>».</w:t>
      </w:r>
    </w:p>
    <w:p w:rsidR="005940BC" w:rsidRPr="005940BC" w:rsidRDefault="005940BC" w:rsidP="005940BC">
      <w:pPr>
        <w:widowControl w:val="0"/>
        <w:rPr>
          <w:rFonts w:eastAsia="Calibri"/>
          <w:highlight w:val="yellow"/>
        </w:rPr>
        <w:sectPr w:rsidR="005940BC" w:rsidRPr="005940BC" w:rsidSect="004C01D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24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5940BC" w:rsidRPr="005940BC" w:rsidTr="001428A3">
        <w:tc>
          <w:tcPr>
            <w:tcW w:w="5322" w:type="dxa"/>
            <w:shd w:val="clear" w:color="auto" w:fill="auto"/>
          </w:tcPr>
          <w:p w:rsidR="005940BC" w:rsidRPr="005940BC" w:rsidRDefault="005940BC" w:rsidP="001428A3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lastRenderedPageBreak/>
              <w:t>Приложение 2</w:t>
            </w:r>
          </w:p>
          <w:p w:rsidR="005940BC" w:rsidRPr="005940BC" w:rsidRDefault="005940BC" w:rsidP="001428A3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5940BC" w:rsidRPr="005940BC" w:rsidRDefault="005940BC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от ХХ.11.2020 № ХХ</w:t>
            </w:r>
          </w:p>
        </w:tc>
      </w:tr>
    </w:tbl>
    <w:p w:rsidR="00D8004F" w:rsidRPr="005940BC" w:rsidRDefault="00D8004F" w:rsidP="005940BC">
      <w:pPr>
        <w:ind w:firstLine="709"/>
        <w:jc w:val="right"/>
        <w:rPr>
          <w:sz w:val="28"/>
          <w:szCs w:val="28"/>
          <w:highlight w:val="yellow"/>
        </w:rPr>
      </w:pPr>
    </w:p>
    <w:p w:rsidR="005940BC" w:rsidRPr="005940BC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5940BC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D8004F" w:rsidRPr="005940BC" w:rsidTr="005940BC">
        <w:tc>
          <w:tcPr>
            <w:tcW w:w="5322" w:type="dxa"/>
            <w:shd w:val="clear" w:color="auto" w:fill="auto"/>
          </w:tcPr>
          <w:p w:rsidR="00D8004F" w:rsidRPr="005940BC" w:rsidRDefault="005940BC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«</w:t>
            </w:r>
            <w:r w:rsidR="00D8004F" w:rsidRPr="005940BC">
              <w:rPr>
                <w:sz w:val="28"/>
                <w:szCs w:val="28"/>
                <w:highlight w:val="yellow"/>
              </w:rPr>
              <w:t xml:space="preserve">Приложение </w:t>
            </w:r>
            <w:r w:rsidR="004C01D5" w:rsidRPr="005940BC">
              <w:rPr>
                <w:sz w:val="28"/>
                <w:szCs w:val="28"/>
                <w:highlight w:val="yellow"/>
              </w:rPr>
              <w:t>2</w:t>
            </w:r>
          </w:p>
          <w:p w:rsidR="00D8004F" w:rsidRPr="005940BC" w:rsidRDefault="00D8004F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D8004F" w:rsidRPr="005940BC" w:rsidRDefault="00D8004F" w:rsidP="000C4733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от </w:t>
            </w:r>
            <w:r w:rsidR="003A6981">
              <w:rPr>
                <w:sz w:val="28"/>
                <w:szCs w:val="28"/>
                <w:highlight w:val="yellow"/>
              </w:rPr>
              <w:t>26</w:t>
            </w:r>
            <w:r w:rsidRPr="005940BC">
              <w:rPr>
                <w:sz w:val="28"/>
                <w:szCs w:val="28"/>
                <w:highlight w:val="yellow"/>
              </w:rPr>
              <w:t>.</w:t>
            </w:r>
            <w:r w:rsidR="00E3248C" w:rsidRPr="005940BC">
              <w:rPr>
                <w:sz w:val="28"/>
                <w:szCs w:val="28"/>
                <w:highlight w:val="yellow"/>
              </w:rPr>
              <w:t>12</w:t>
            </w:r>
            <w:r w:rsidRPr="005940BC">
              <w:rPr>
                <w:sz w:val="28"/>
                <w:szCs w:val="28"/>
                <w:highlight w:val="yellow"/>
              </w:rPr>
              <w:t>.201</w:t>
            </w:r>
            <w:r w:rsidR="00402A69" w:rsidRPr="005940BC">
              <w:rPr>
                <w:sz w:val="28"/>
                <w:szCs w:val="28"/>
                <w:highlight w:val="yellow"/>
              </w:rPr>
              <w:t>9</w:t>
            </w:r>
            <w:r w:rsidRPr="005940BC">
              <w:rPr>
                <w:sz w:val="28"/>
                <w:szCs w:val="28"/>
                <w:highlight w:val="yellow"/>
              </w:rPr>
              <w:t xml:space="preserve"> № </w:t>
            </w:r>
            <w:r w:rsidR="00A16BF4" w:rsidRPr="005940BC">
              <w:rPr>
                <w:sz w:val="28"/>
                <w:szCs w:val="28"/>
                <w:highlight w:val="yellow"/>
              </w:rPr>
              <w:t>4</w:t>
            </w:r>
            <w:r w:rsidR="003A6981">
              <w:rPr>
                <w:sz w:val="28"/>
                <w:szCs w:val="28"/>
                <w:highlight w:val="yellow"/>
              </w:rPr>
              <w:t>5</w:t>
            </w:r>
            <w:r w:rsidR="000C4733">
              <w:rPr>
                <w:sz w:val="28"/>
                <w:szCs w:val="28"/>
                <w:highlight w:val="yellow"/>
              </w:rPr>
              <w:t>3</w:t>
            </w:r>
          </w:p>
        </w:tc>
      </w:tr>
    </w:tbl>
    <w:p w:rsidR="007216DE" w:rsidRPr="005940BC" w:rsidRDefault="007216DE" w:rsidP="00D8004F">
      <w:pPr>
        <w:rPr>
          <w:highlight w:val="yellow"/>
        </w:rPr>
      </w:pPr>
    </w:p>
    <w:p w:rsidR="00D8004F" w:rsidRPr="005940BC" w:rsidRDefault="00D8004F" w:rsidP="00D8004F">
      <w:pPr>
        <w:rPr>
          <w:highlight w:val="yellow"/>
        </w:rPr>
      </w:pPr>
    </w:p>
    <w:p w:rsidR="00D8004F" w:rsidRPr="005940BC" w:rsidRDefault="00D8004F" w:rsidP="00D8004F">
      <w:pPr>
        <w:rPr>
          <w:highlight w:val="yellow"/>
        </w:rPr>
      </w:pPr>
    </w:p>
    <w:p w:rsidR="005940BC" w:rsidRPr="005940BC" w:rsidRDefault="005940BC" w:rsidP="00D8004F">
      <w:pPr>
        <w:rPr>
          <w:highlight w:val="yellow"/>
        </w:rPr>
      </w:pPr>
    </w:p>
    <w:p w:rsidR="005940BC" w:rsidRPr="005940BC" w:rsidRDefault="005940BC" w:rsidP="00D8004F">
      <w:pPr>
        <w:rPr>
          <w:highlight w:val="yellow"/>
        </w:rPr>
      </w:pPr>
    </w:p>
    <w:p w:rsidR="005940BC" w:rsidRPr="003A6981" w:rsidRDefault="005940BC" w:rsidP="00D8004F">
      <w:pPr>
        <w:rPr>
          <w:highlight w:val="yellow"/>
        </w:rPr>
      </w:pPr>
    </w:p>
    <w:p w:rsidR="000C4733" w:rsidRPr="000C4733" w:rsidRDefault="000C4733" w:rsidP="000C4733">
      <w:pPr>
        <w:jc w:val="center"/>
        <w:rPr>
          <w:rFonts w:eastAsiaTheme="minorHAnsi"/>
          <w:b/>
          <w:highlight w:val="yellow"/>
          <w:lang w:eastAsia="en-US"/>
        </w:rPr>
      </w:pPr>
      <w:r w:rsidRPr="000C4733">
        <w:rPr>
          <w:rFonts w:eastAsiaTheme="minorHAnsi"/>
          <w:b/>
          <w:highlight w:val="yellow"/>
          <w:lang w:eastAsia="en-US"/>
        </w:rPr>
        <w:t xml:space="preserve">Цены (тарифы)  </w:t>
      </w:r>
    </w:p>
    <w:p w:rsidR="000C4733" w:rsidRPr="000C4733" w:rsidRDefault="000C4733" w:rsidP="000C4733">
      <w:pPr>
        <w:jc w:val="center"/>
        <w:rPr>
          <w:rFonts w:eastAsiaTheme="minorHAnsi"/>
          <w:b/>
          <w:highlight w:val="yellow"/>
          <w:lang w:eastAsia="en-US"/>
        </w:rPr>
      </w:pPr>
      <w:r w:rsidRPr="000C4733">
        <w:rPr>
          <w:rFonts w:eastAsiaTheme="minorHAnsi"/>
          <w:b/>
          <w:highlight w:val="yellow"/>
          <w:lang w:eastAsia="en-US"/>
        </w:rPr>
        <w:t>на электрическую энергию (мощность), поставляемую ООО «</w:t>
      </w:r>
      <w:proofErr w:type="spellStart"/>
      <w:r w:rsidRPr="000C4733">
        <w:rPr>
          <w:rFonts w:eastAsiaTheme="minorHAnsi"/>
          <w:b/>
          <w:highlight w:val="yellow"/>
          <w:lang w:eastAsia="en-US"/>
        </w:rPr>
        <w:t>Пенжинская</w:t>
      </w:r>
      <w:proofErr w:type="spellEnd"/>
      <w:r w:rsidRPr="000C4733">
        <w:rPr>
          <w:rFonts w:eastAsiaTheme="minorHAnsi"/>
          <w:b/>
          <w:highlight w:val="yellow"/>
          <w:lang w:eastAsia="en-US"/>
        </w:rPr>
        <w:t xml:space="preserve"> горная компания» по объектам электроснабжения горнодобывающих предприятий, осуществляющих деятельность на территории </w:t>
      </w:r>
      <w:proofErr w:type="spellStart"/>
      <w:r w:rsidRPr="000C4733">
        <w:rPr>
          <w:rFonts w:eastAsiaTheme="minorHAnsi"/>
          <w:b/>
          <w:highlight w:val="yellow"/>
          <w:lang w:eastAsia="en-US"/>
        </w:rPr>
        <w:t>Пенжинского</w:t>
      </w:r>
      <w:proofErr w:type="spellEnd"/>
      <w:r w:rsidRPr="000C4733">
        <w:rPr>
          <w:rFonts w:eastAsiaTheme="minorHAnsi"/>
          <w:b/>
          <w:highlight w:val="yellow"/>
          <w:lang w:eastAsia="en-US"/>
        </w:rPr>
        <w:t xml:space="preserve"> муниципального района Камчатского края, месторождение «Ясный-</w:t>
      </w:r>
      <w:proofErr w:type="spellStart"/>
      <w:r w:rsidRPr="000C4733">
        <w:rPr>
          <w:rFonts w:eastAsiaTheme="minorHAnsi"/>
          <w:b/>
          <w:highlight w:val="yellow"/>
          <w:lang w:eastAsia="en-US"/>
        </w:rPr>
        <w:t>Коровинский</w:t>
      </w:r>
      <w:proofErr w:type="spellEnd"/>
      <w:r w:rsidRPr="000C4733">
        <w:rPr>
          <w:rFonts w:eastAsiaTheme="minorHAnsi"/>
          <w:b/>
          <w:highlight w:val="yellow"/>
          <w:lang w:eastAsia="en-US"/>
        </w:rPr>
        <w:t>», покупателям на розничных рынках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 (тарифы указываются без НДС)</w:t>
      </w:r>
      <w:r w:rsidRPr="000C4733">
        <w:rPr>
          <w:rFonts w:eastAsiaTheme="minorHAnsi"/>
          <w:b/>
          <w:highlight w:val="yellow"/>
          <w:vertAlign w:val="superscript"/>
          <w:lang w:eastAsia="en-US"/>
        </w:rPr>
        <w:t>1</w:t>
      </w:r>
    </w:p>
    <w:p w:rsidR="00D8004F" w:rsidRDefault="000C4733" w:rsidP="000C4733">
      <w:pPr>
        <w:jc w:val="center"/>
        <w:rPr>
          <w:rFonts w:eastAsiaTheme="minorHAnsi"/>
          <w:b/>
          <w:lang w:eastAsia="en-US"/>
        </w:rPr>
      </w:pPr>
      <w:r w:rsidRPr="000C4733">
        <w:rPr>
          <w:rFonts w:eastAsiaTheme="minorHAnsi"/>
          <w:b/>
          <w:highlight w:val="yellow"/>
          <w:lang w:eastAsia="en-US"/>
        </w:rPr>
        <w:t>на 202</w:t>
      </w:r>
      <w:r w:rsidRPr="000C4733">
        <w:rPr>
          <w:rFonts w:eastAsiaTheme="minorHAnsi"/>
          <w:b/>
          <w:highlight w:val="yellow"/>
          <w:lang w:eastAsia="en-US"/>
        </w:rPr>
        <w:t>1</w:t>
      </w:r>
      <w:r w:rsidRPr="000C4733">
        <w:rPr>
          <w:rFonts w:eastAsiaTheme="minorHAnsi"/>
          <w:b/>
          <w:highlight w:val="yellow"/>
          <w:lang w:eastAsia="en-US"/>
        </w:rPr>
        <w:t xml:space="preserve"> год</w:t>
      </w:r>
    </w:p>
    <w:p w:rsidR="003A6981" w:rsidRDefault="003A6981" w:rsidP="003A6981">
      <w:pPr>
        <w:jc w:val="center"/>
        <w:rPr>
          <w:rFonts w:eastAsiaTheme="minorHAnsi"/>
          <w:b/>
          <w:lang w:eastAsia="en-US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4541"/>
        <w:gridCol w:w="1558"/>
        <w:gridCol w:w="1841"/>
        <w:gridCol w:w="1701"/>
      </w:tblGrid>
      <w:tr w:rsidR="000C4733" w:rsidRPr="000C4733" w:rsidTr="001428A3">
        <w:trPr>
          <w:tblCellSpacing w:w="5" w:type="nil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№ п/п </w:t>
            </w:r>
          </w:p>
        </w:tc>
        <w:tc>
          <w:tcPr>
            <w:tcW w:w="2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Единица    </w:t>
            </w:r>
            <w:r w:rsidRPr="000C4733">
              <w:rPr>
                <w:highlight w:val="yellow"/>
              </w:rPr>
              <w:br/>
              <w:t xml:space="preserve">  измерения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1 полугодие 01.01.202</w:t>
            </w:r>
            <w:r>
              <w:rPr>
                <w:highlight w:val="yellow"/>
              </w:rPr>
              <w:t>1</w:t>
            </w:r>
            <w:r w:rsidRPr="000C4733">
              <w:rPr>
                <w:highlight w:val="yellow"/>
              </w:rPr>
              <w:t xml:space="preserve"> г.-30.06.202</w:t>
            </w:r>
            <w:r>
              <w:rPr>
                <w:highlight w:val="yellow"/>
              </w:rPr>
              <w:t>1</w:t>
            </w:r>
            <w:r w:rsidRPr="000C4733">
              <w:rPr>
                <w:highlight w:val="yellow"/>
              </w:rPr>
              <w:t xml:space="preserve"> г.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 полугодие</w:t>
            </w:r>
          </w:p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01.07.202</w:t>
            </w:r>
            <w:r>
              <w:rPr>
                <w:highlight w:val="yellow"/>
              </w:rPr>
              <w:t>1</w:t>
            </w:r>
            <w:r w:rsidRPr="000C4733">
              <w:rPr>
                <w:highlight w:val="yellow"/>
              </w:rPr>
              <w:t xml:space="preserve"> г.-31.12.202</w:t>
            </w:r>
            <w:r>
              <w:rPr>
                <w:highlight w:val="yellow"/>
              </w:rPr>
              <w:t>1</w:t>
            </w:r>
            <w:r w:rsidRPr="000C4733">
              <w:rPr>
                <w:highlight w:val="yellow"/>
              </w:rPr>
              <w:t xml:space="preserve"> г.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2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Цена (тариф)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Цена (тариф)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1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3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4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5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Прочие потребители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 1. 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proofErr w:type="spellStart"/>
            <w:r w:rsidRPr="000C4733">
              <w:rPr>
                <w:highlight w:val="yellow"/>
              </w:rPr>
              <w:t>Одноставочный</w:t>
            </w:r>
            <w:proofErr w:type="spellEnd"/>
            <w:r w:rsidRPr="000C4733">
              <w:rPr>
                <w:highlight w:val="yellow"/>
              </w:rPr>
              <w:t xml:space="preserve"> тариф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кВт·ч</w:t>
            </w:r>
            <w:proofErr w:type="spellEnd"/>
            <w:r w:rsidRPr="000C4733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28,779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30,717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 2. 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proofErr w:type="spellStart"/>
            <w:r w:rsidRPr="000C4733">
              <w:rPr>
                <w:highlight w:val="yellow"/>
              </w:rPr>
              <w:t>Трехставочный</w:t>
            </w:r>
            <w:proofErr w:type="spellEnd"/>
            <w:r w:rsidRPr="000C4733">
              <w:rPr>
                <w:highlight w:val="yellow"/>
              </w:rPr>
              <w:t xml:space="preserve"> тариф</w:t>
            </w:r>
            <w:r w:rsidRPr="000C4733">
              <w:rPr>
                <w:highlight w:val="yellow"/>
                <w:vertAlign w:val="superscript"/>
              </w:rPr>
              <w:t>2</w:t>
            </w:r>
            <w:r w:rsidRPr="000C4733">
              <w:rPr>
                <w:highlight w:val="yellow"/>
              </w:rPr>
              <w:t xml:space="preserve">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2.1.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кВт·мес</w:t>
            </w:r>
            <w:proofErr w:type="spellEnd"/>
            <w:r w:rsidRPr="000C4733">
              <w:rPr>
                <w:highlight w:val="yellow"/>
              </w:rPr>
              <w:t xml:space="preserve">.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2.2.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ставка стоимости </w:t>
            </w:r>
            <w:proofErr w:type="gramStart"/>
            <w:r w:rsidRPr="000C4733">
              <w:rPr>
                <w:highlight w:val="yellow"/>
              </w:rPr>
              <w:t>единицы  электрической</w:t>
            </w:r>
            <w:proofErr w:type="gramEnd"/>
            <w:r w:rsidRPr="000C4733">
              <w:rPr>
                <w:highlight w:val="yellow"/>
              </w:rPr>
              <w:t xml:space="preserve"> мощности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кВт·мес</w:t>
            </w:r>
            <w:proofErr w:type="spellEnd"/>
            <w:r w:rsidRPr="000C4733">
              <w:rPr>
                <w:highlight w:val="yellow"/>
              </w:rPr>
              <w:t xml:space="preserve">.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2.3.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кВт·ч</w:t>
            </w:r>
            <w:proofErr w:type="spellEnd"/>
            <w:r w:rsidRPr="000C4733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 3.  </w:t>
            </w:r>
          </w:p>
        </w:tc>
        <w:tc>
          <w:tcPr>
            <w:tcW w:w="38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proofErr w:type="spellStart"/>
            <w:r w:rsidRPr="000C4733">
              <w:rPr>
                <w:highlight w:val="yellow"/>
              </w:rPr>
              <w:t>Одноставочные</w:t>
            </w:r>
            <w:proofErr w:type="spellEnd"/>
            <w:r w:rsidRPr="000C4733">
              <w:rPr>
                <w:highlight w:val="yellow"/>
              </w:rPr>
              <w:t xml:space="preserve"> тарифы, дифференцированные по трем зонам суток</w:t>
            </w:r>
            <w:r w:rsidRPr="000C4733">
              <w:rPr>
                <w:highlight w:val="yellow"/>
                <w:vertAlign w:val="superscript"/>
              </w:rPr>
              <w:t>3</w:t>
            </w:r>
            <w:r w:rsidRPr="000C4733">
              <w:rPr>
                <w:highlight w:val="yellow"/>
              </w:rPr>
              <w:t xml:space="preserve">                           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</w:tr>
      <w:tr w:rsidR="000C4733" w:rsidRPr="000C4733" w:rsidTr="001428A3">
        <w:trPr>
          <w:trHeight w:val="249"/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3.1.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- ночная зона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кВт·ч</w:t>
            </w:r>
            <w:proofErr w:type="spellEnd"/>
            <w:r w:rsidRPr="000C4733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23,023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24,574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3.2.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- полупиковая зона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кВт·ч</w:t>
            </w:r>
            <w:proofErr w:type="spellEnd"/>
            <w:r w:rsidRPr="000C4733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28,779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30,717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3.3.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- пиковая зона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кВт·ч</w:t>
            </w:r>
            <w:proofErr w:type="spellEnd"/>
            <w:r w:rsidRPr="000C4733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34,535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36,860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 4.  </w:t>
            </w:r>
          </w:p>
        </w:tc>
        <w:tc>
          <w:tcPr>
            <w:tcW w:w="38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proofErr w:type="spellStart"/>
            <w:r w:rsidRPr="000C4733">
              <w:rPr>
                <w:highlight w:val="yellow"/>
              </w:rPr>
              <w:t>Одноставочные</w:t>
            </w:r>
            <w:proofErr w:type="spellEnd"/>
            <w:r w:rsidRPr="000C4733">
              <w:rPr>
                <w:highlight w:val="yellow"/>
              </w:rPr>
              <w:t xml:space="preserve"> тарифы, дифференцированные по двум зонам суток</w:t>
            </w:r>
            <w:r w:rsidRPr="000C4733">
              <w:rPr>
                <w:highlight w:val="yellow"/>
                <w:vertAlign w:val="superscript"/>
              </w:rPr>
              <w:t>3</w:t>
            </w:r>
            <w:r w:rsidRPr="000C4733">
              <w:rPr>
                <w:highlight w:val="yellow"/>
              </w:rPr>
              <w:t xml:space="preserve">                       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4.1.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- ночная зона 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кВт·ч</w:t>
            </w:r>
            <w:proofErr w:type="spellEnd"/>
            <w:r w:rsidRPr="000C4733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23,023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24,574</w:t>
            </w:r>
          </w:p>
        </w:tc>
      </w:tr>
      <w:tr w:rsidR="000C4733" w:rsidRPr="000C4733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4.2.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 xml:space="preserve">- дневная зона (пиковая и </w:t>
            </w:r>
            <w:proofErr w:type="gramStart"/>
            <w:r w:rsidRPr="000C4733">
              <w:rPr>
                <w:highlight w:val="yellow"/>
              </w:rPr>
              <w:t xml:space="preserve">полупиковая)   </w:t>
            </w:r>
            <w:proofErr w:type="gramEnd"/>
            <w:r w:rsidRPr="000C4733">
              <w:rPr>
                <w:highlight w:val="yellow"/>
              </w:rPr>
              <w:t xml:space="preserve">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руб./</w:t>
            </w:r>
            <w:proofErr w:type="spellStart"/>
            <w:r w:rsidRPr="000C4733">
              <w:rPr>
                <w:highlight w:val="yellow"/>
              </w:rPr>
              <w:t>кВт·ч</w:t>
            </w:r>
            <w:proofErr w:type="spellEnd"/>
            <w:r w:rsidRPr="000C4733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33,096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33" w:rsidRPr="000C4733" w:rsidRDefault="000C4733" w:rsidP="000C4733">
            <w:pPr>
              <w:jc w:val="center"/>
              <w:rPr>
                <w:highlight w:val="yellow"/>
              </w:rPr>
            </w:pPr>
            <w:r w:rsidRPr="000C4733">
              <w:rPr>
                <w:highlight w:val="yellow"/>
              </w:rPr>
              <w:t>35,325</w:t>
            </w:r>
          </w:p>
        </w:tc>
      </w:tr>
    </w:tbl>
    <w:p w:rsidR="003A6981" w:rsidRPr="005940BC" w:rsidRDefault="003A6981" w:rsidP="003A6981">
      <w:pPr>
        <w:jc w:val="center"/>
        <w:rPr>
          <w:highlight w:val="yellow"/>
        </w:rPr>
      </w:pPr>
    </w:p>
    <w:p w:rsidR="000C4733" w:rsidRPr="000C4733" w:rsidRDefault="000C4733" w:rsidP="000C4733">
      <w:pPr>
        <w:ind w:firstLine="709"/>
        <w:jc w:val="both"/>
        <w:rPr>
          <w:bCs/>
          <w:sz w:val="20"/>
          <w:szCs w:val="20"/>
          <w:highlight w:val="yellow"/>
        </w:rPr>
      </w:pPr>
      <w:r w:rsidRPr="000C4733">
        <w:rPr>
          <w:bCs/>
          <w:sz w:val="20"/>
          <w:szCs w:val="20"/>
          <w:highlight w:val="yellow"/>
        </w:rPr>
        <w:t xml:space="preserve">Примечание: </w:t>
      </w:r>
    </w:p>
    <w:p w:rsidR="000C4733" w:rsidRPr="000C4733" w:rsidRDefault="000C4733" w:rsidP="000C4733">
      <w:pPr>
        <w:ind w:firstLine="709"/>
        <w:jc w:val="both"/>
        <w:rPr>
          <w:bCs/>
          <w:sz w:val="20"/>
          <w:szCs w:val="20"/>
          <w:highlight w:val="yellow"/>
        </w:rPr>
      </w:pPr>
      <w:r w:rsidRPr="000C4733">
        <w:rPr>
          <w:bCs/>
          <w:sz w:val="20"/>
          <w:szCs w:val="20"/>
          <w:highlight w:val="yellow"/>
        </w:rPr>
        <w:t>&lt;1&gt; В данном приложении указаны цены (тарифы) на электрическую энергию (мощность), производимую электростанциями ООО «</w:t>
      </w:r>
      <w:proofErr w:type="spellStart"/>
      <w:r w:rsidRPr="000C4733">
        <w:rPr>
          <w:bCs/>
          <w:sz w:val="20"/>
          <w:szCs w:val="20"/>
          <w:highlight w:val="yellow"/>
        </w:rPr>
        <w:t>Пенжинская</w:t>
      </w:r>
      <w:proofErr w:type="spellEnd"/>
      <w:r w:rsidRPr="000C4733">
        <w:rPr>
          <w:bCs/>
          <w:sz w:val="20"/>
          <w:szCs w:val="20"/>
          <w:highlight w:val="yellow"/>
        </w:rPr>
        <w:t xml:space="preserve"> горная компания» по объектам электроснабжения горнодобывающих предприятий, осуществляющих деятельность на территории </w:t>
      </w:r>
      <w:proofErr w:type="spellStart"/>
      <w:r w:rsidRPr="000C4733">
        <w:rPr>
          <w:bCs/>
          <w:sz w:val="20"/>
          <w:szCs w:val="20"/>
          <w:highlight w:val="yellow"/>
        </w:rPr>
        <w:t>Пенжинского</w:t>
      </w:r>
      <w:proofErr w:type="spellEnd"/>
      <w:r w:rsidRPr="000C4733">
        <w:rPr>
          <w:bCs/>
          <w:sz w:val="20"/>
          <w:szCs w:val="20"/>
          <w:highlight w:val="yellow"/>
        </w:rPr>
        <w:t xml:space="preserve"> муниципального района Камчатского края, месторождение «Ясный-</w:t>
      </w:r>
      <w:proofErr w:type="spellStart"/>
      <w:r w:rsidRPr="000C4733">
        <w:rPr>
          <w:bCs/>
          <w:sz w:val="20"/>
          <w:szCs w:val="20"/>
          <w:highlight w:val="yellow"/>
        </w:rPr>
        <w:t>Коровинский</w:t>
      </w:r>
      <w:proofErr w:type="spellEnd"/>
      <w:r w:rsidRPr="000C4733">
        <w:rPr>
          <w:bCs/>
          <w:sz w:val="20"/>
          <w:szCs w:val="20"/>
          <w:highlight w:val="yellow"/>
        </w:rPr>
        <w:t>», с использованием которых осуществляется производство и поставка электрической энергии (мощности) на розничном рынке;</w:t>
      </w:r>
    </w:p>
    <w:p w:rsidR="000C4733" w:rsidRPr="000C4733" w:rsidRDefault="000C4733" w:rsidP="000C4733">
      <w:pPr>
        <w:ind w:firstLine="709"/>
        <w:jc w:val="both"/>
        <w:rPr>
          <w:bCs/>
          <w:sz w:val="20"/>
          <w:szCs w:val="20"/>
          <w:highlight w:val="yellow"/>
        </w:rPr>
      </w:pPr>
      <w:r w:rsidRPr="000C4733">
        <w:rPr>
          <w:bCs/>
          <w:sz w:val="20"/>
          <w:szCs w:val="20"/>
          <w:highlight w:val="yellow"/>
        </w:rPr>
        <w:t xml:space="preserve">&lt;2&gt; </w:t>
      </w:r>
      <w:proofErr w:type="spellStart"/>
      <w:r w:rsidRPr="000C4733">
        <w:rPr>
          <w:bCs/>
          <w:sz w:val="20"/>
          <w:szCs w:val="20"/>
          <w:highlight w:val="yellow"/>
        </w:rPr>
        <w:t>Трехставочный</w:t>
      </w:r>
      <w:proofErr w:type="spellEnd"/>
      <w:r w:rsidRPr="000C4733">
        <w:rPr>
          <w:bCs/>
          <w:sz w:val="20"/>
          <w:szCs w:val="20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1178, не устанавливается;</w:t>
      </w:r>
    </w:p>
    <w:p w:rsidR="003A6981" w:rsidRPr="003A6981" w:rsidRDefault="000C4733" w:rsidP="000C4733">
      <w:pPr>
        <w:ind w:firstLine="709"/>
        <w:jc w:val="both"/>
        <w:rPr>
          <w:sz w:val="20"/>
          <w:szCs w:val="20"/>
        </w:rPr>
      </w:pPr>
      <w:r w:rsidRPr="000C4733">
        <w:rPr>
          <w:bCs/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службой.</w:t>
      </w:r>
    </w:p>
    <w:p w:rsidR="00A16BF4" w:rsidRDefault="005940BC" w:rsidP="003A6981">
      <w:pPr>
        <w:ind w:firstLine="709"/>
        <w:jc w:val="right"/>
        <w:rPr>
          <w:sz w:val="20"/>
          <w:szCs w:val="20"/>
        </w:rPr>
      </w:pPr>
      <w:r w:rsidRPr="005940BC">
        <w:rPr>
          <w:sz w:val="28"/>
          <w:szCs w:val="28"/>
          <w:highlight w:val="yellow"/>
        </w:rPr>
        <w:t>».</w:t>
      </w:r>
    </w:p>
    <w:sectPr w:rsidR="00A16BF4" w:rsidSect="00E7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C4733"/>
    <w:rsid w:val="000E5BB4"/>
    <w:rsid w:val="00101353"/>
    <w:rsid w:val="001360BE"/>
    <w:rsid w:val="0015591B"/>
    <w:rsid w:val="00183B57"/>
    <w:rsid w:val="00192B12"/>
    <w:rsid w:val="001E6D49"/>
    <w:rsid w:val="001E7892"/>
    <w:rsid w:val="00303AF2"/>
    <w:rsid w:val="00355590"/>
    <w:rsid w:val="003A6981"/>
    <w:rsid w:val="00402A69"/>
    <w:rsid w:val="00413E7C"/>
    <w:rsid w:val="00434661"/>
    <w:rsid w:val="00447480"/>
    <w:rsid w:val="004C01D5"/>
    <w:rsid w:val="005277C0"/>
    <w:rsid w:val="005421C0"/>
    <w:rsid w:val="005940BC"/>
    <w:rsid w:val="006009FB"/>
    <w:rsid w:val="006547FC"/>
    <w:rsid w:val="006A7364"/>
    <w:rsid w:val="006F1FC6"/>
    <w:rsid w:val="007216DE"/>
    <w:rsid w:val="007631B5"/>
    <w:rsid w:val="00795CA5"/>
    <w:rsid w:val="007E3416"/>
    <w:rsid w:val="00823E95"/>
    <w:rsid w:val="00846079"/>
    <w:rsid w:val="0087736C"/>
    <w:rsid w:val="008D3448"/>
    <w:rsid w:val="00907854"/>
    <w:rsid w:val="009F0327"/>
    <w:rsid w:val="009F0E7F"/>
    <w:rsid w:val="00A16BF4"/>
    <w:rsid w:val="00A35686"/>
    <w:rsid w:val="00A606DE"/>
    <w:rsid w:val="00B221A4"/>
    <w:rsid w:val="00B33549"/>
    <w:rsid w:val="00B74C7E"/>
    <w:rsid w:val="00BA3CE5"/>
    <w:rsid w:val="00BE1B24"/>
    <w:rsid w:val="00C048A7"/>
    <w:rsid w:val="00C05D07"/>
    <w:rsid w:val="00C90ED0"/>
    <w:rsid w:val="00CA2076"/>
    <w:rsid w:val="00CA56C5"/>
    <w:rsid w:val="00D41875"/>
    <w:rsid w:val="00D6030F"/>
    <w:rsid w:val="00D8004F"/>
    <w:rsid w:val="00E3248C"/>
    <w:rsid w:val="00E71016"/>
    <w:rsid w:val="00E72920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2</cp:revision>
  <cp:lastPrinted>2019-12-18T22:14:00Z</cp:lastPrinted>
  <dcterms:created xsi:type="dcterms:W3CDTF">2020-11-05T23:42:00Z</dcterms:created>
  <dcterms:modified xsi:type="dcterms:W3CDTF">2020-11-05T23:42:00Z</dcterms:modified>
</cp:coreProperties>
</file>