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0C0AB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r w:rsidR="00B60245" w:rsidRPr="000C0ABF">
        <w:rPr>
          <w:rFonts w:ascii="Times New Roman" w:hAnsi="Times New Roman" w:cs="Times New Roman"/>
          <w:sz w:val="28"/>
          <w:szCs w:val="28"/>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414797" w:rsidP="00EE0DFD">
            <w:pPr>
              <w:jc w:val="both"/>
              <w:rPr>
                <w:szCs w:val="28"/>
              </w:rPr>
            </w:pPr>
            <w:r w:rsidRPr="00414797">
              <w:rPr>
                <w:bCs/>
                <w:szCs w:val="28"/>
              </w:rPr>
              <w:t>О внесении изменений в постановление Региональной службы по тарифам и ценам Камчатского края от 20.12.2019 № 428 «Об утверждении ставок платы за подключение к системам теплоснабжения ПАО «Камчатскэнерго» объектов заявителей на территории Камчатского края на 2020 год»</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B60245" w:rsidRDefault="00414797" w:rsidP="001B5371">
      <w:pPr>
        <w:suppressAutoHyphens/>
        <w:adjustRightInd w:val="0"/>
        <w:ind w:firstLine="720"/>
        <w:jc w:val="both"/>
        <w:rPr>
          <w:szCs w:val="28"/>
        </w:rPr>
      </w:pPr>
      <w:r w:rsidRPr="00414797">
        <w:rPr>
          <w:szCs w:val="28"/>
        </w:rPr>
        <w:t>В соответствии с Федеральным законом от 27.07.2010 № 190-ФЗ «О теплоснабжении», постановлениями Правительства Российской Федерации от 22.10.2012 № 1075 «О ценообразовании в сфере теплоснабжения»,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приказами ФСТ России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 отмене регулирования тарифов в сфере теплоснабжения»,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09.09.2020 № ХХ</w:t>
      </w:r>
    </w:p>
    <w:p w:rsidR="006E4B23" w:rsidRPr="008D13CF" w:rsidRDefault="006E4B23" w:rsidP="00B60245">
      <w:pPr>
        <w:adjustRightInd w:val="0"/>
        <w:ind w:firstLine="720"/>
        <w:jc w:val="both"/>
        <w:rPr>
          <w:szCs w:val="28"/>
        </w:rPr>
      </w:pPr>
    </w:p>
    <w:p w:rsidR="00B60245" w:rsidRPr="008D13CF" w:rsidRDefault="000C0ABF"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414797" w:rsidRPr="00414797" w:rsidRDefault="00414797" w:rsidP="00414797">
      <w:pPr>
        <w:suppressAutoHyphens/>
        <w:adjustRightInd w:val="0"/>
        <w:ind w:firstLine="720"/>
        <w:jc w:val="both"/>
        <w:rPr>
          <w:szCs w:val="28"/>
        </w:rPr>
      </w:pPr>
      <w:r w:rsidRPr="00414797">
        <w:rPr>
          <w:szCs w:val="28"/>
        </w:rPr>
        <w:t>1.</w:t>
      </w:r>
      <w:r w:rsidRPr="00414797">
        <w:rPr>
          <w:szCs w:val="28"/>
        </w:rPr>
        <w:tab/>
        <w:t xml:space="preserve">Внести в постановление Региональной службы по тарифам и ценам Камчатского края от 20.12.2019 № 428 «Об утверждении ставок платы за </w:t>
      </w:r>
      <w:r w:rsidRPr="00414797">
        <w:rPr>
          <w:szCs w:val="28"/>
        </w:rPr>
        <w:lastRenderedPageBreak/>
        <w:t>подключение к системам теплоснабжения ПАО «Камчатскэнерго» объектов заявителей на территории Камчатского края на 2020 год» изменения, дополнив:</w:t>
      </w:r>
    </w:p>
    <w:p w:rsidR="00414797" w:rsidRPr="00414797" w:rsidRDefault="00414797" w:rsidP="00414797">
      <w:pPr>
        <w:suppressAutoHyphens/>
        <w:adjustRightInd w:val="0"/>
        <w:ind w:firstLine="720"/>
        <w:jc w:val="both"/>
        <w:rPr>
          <w:szCs w:val="28"/>
        </w:rPr>
      </w:pPr>
      <w:r w:rsidRPr="00414797">
        <w:rPr>
          <w:szCs w:val="28"/>
        </w:rPr>
        <w:t>1) частью 6 следующего содержания:</w:t>
      </w:r>
    </w:p>
    <w:p w:rsidR="00414797" w:rsidRPr="00414797" w:rsidRDefault="00414797" w:rsidP="00414797">
      <w:pPr>
        <w:suppressAutoHyphens/>
        <w:adjustRightInd w:val="0"/>
        <w:ind w:firstLine="720"/>
        <w:jc w:val="both"/>
        <w:rPr>
          <w:szCs w:val="28"/>
        </w:rPr>
      </w:pPr>
      <w:r w:rsidRPr="00414797">
        <w:rPr>
          <w:szCs w:val="28"/>
        </w:rPr>
        <w:t>«Установить на 2020 год плату за подключение к системам теплоснабжения ПАО «Камчатскэнерго» в Николаевском сельском поселении Елизовского муниципального района потребителей,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 согласно приложению 6»;</w:t>
      </w:r>
    </w:p>
    <w:p w:rsidR="00414797" w:rsidRPr="00414797" w:rsidRDefault="00414797" w:rsidP="00414797">
      <w:pPr>
        <w:suppressAutoHyphens/>
        <w:adjustRightInd w:val="0"/>
        <w:ind w:firstLine="720"/>
        <w:jc w:val="both"/>
        <w:rPr>
          <w:szCs w:val="28"/>
        </w:rPr>
      </w:pPr>
      <w:r w:rsidRPr="00414797">
        <w:rPr>
          <w:szCs w:val="28"/>
        </w:rPr>
        <w:t>2) приложением 6, изложив в редакции согласно приложению к настоящему постановлению</w:t>
      </w:r>
    </w:p>
    <w:p w:rsidR="00B60245" w:rsidRDefault="00414797" w:rsidP="00414797">
      <w:pPr>
        <w:suppressAutoHyphens/>
        <w:adjustRightInd w:val="0"/>
        <w:ind w:firstLine="720"/>
        <w:jc w:val="both"/>
        <w:rPr>
          <w:szCs w:val="28"/>
        </w:rPr>
      </w:pPr>
      <w:r w:rsidRPr="00414797">
        <w:rPr>
          <w:szCs w:val="28"/>
        </w:rPr>
        <w:t>2.</w:t>
      </w:r>
      <w:r w:rsidRPr="00414797">
        <w:rPr>
          <w:szCs w:val="28"/>
        </w:rPr>
        <w:tab/>
        <w:t>Настоящее постановление вступает в силу со дня его официального опубликования.</w:t>
      </w: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Default="000C0ABF" w:rsidP="00C942BC">
            <w:pPr>
              <w:pStyle w:val="ConsPlusNormal"/>
              <w:ind w:firstLine="0"/>
              <w:jc w:val="both"/>
              <w:rPr>
                <w:rFonts w:ascii="Times New Roman" w:hAnsi="Times New Roman"/>
                <w:sz w:val="27"/>
                <w:szCs w:val="27"/>
              </w:rPr>
            </w:pPr>
            <w:r>
              <w:rPr>
                <w:rFonts w:ascii="Times New Roman" w:hAnsi="Times New Roman"/>
                <w:sz w:val="27"/>
                <w:szCs w:val="27"/>
              </w:rPr>
              <w:t>Руководитель</w:t>
            </w:r>
          </w:p>
          <w:p w:rsidR="000C0ABF" w:rsidRPr="00D871DE" w:rsidRDefault="000C0ABF" w:rsidP="00C942BC">
            <w:pPr>
              <w:pStyle w:val="ConsPlusNormal"/>
              <w:ind w:firstLine="0"/>
              <w:jc w:val="both"/>
              <w:rPr>
                <w:sz w:val="27"/>
                <w:szCs w:val="27"/>
              </w:rPr>
            </w:pP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EB3439" w:rsidRPr="001E6FE1" w:rsidRDefault="000C0ABF" w:rsidP="000C0ABF">
            <w:pPr>
              <w:adjustRightInd w:val="0"/>
              <w:ind w:right="36"/>
              <w:rPr>
                <w:szCs w:val="28"/>
              </w:rPr>
            </w:pPr>
            <w:r>
              <w:t>И.В. Лагуткина</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D23436" w:rsidRDefault="00D23436" w:rsidP="00D2343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414797" w:rsidRPr="00414797" w:rsidTr="00FF5BF6">
        <w:tc>
          <w:tcPr>
            <w:tcW w:w="5106" w:type="dxa"/>
            <w:shd w:val="clear" w:color="auto" w:fill="auto"/>
          </w:tcPr>
          <w:p w:rsidR="00414797" w:rsidRPr="00414797" w:rsidRDefault="00414797" w:rsidP="00414797">
            <w:pPr>
              <w:ind w:left="284" w:hanging="284"/>
              <w:rPr>
                <w:szCs w:val="28"/>
              </w:rPr>
            </w:pPr>
            <w:r w:rsidRPr="00414797">
              <w:rPr>
                <w:szCs w:val="28"/>
              </w:rPr>
              <w:lastRenderedPageBreak/>
              <w:t>Приложение</w:t>
            </w:r>
          </w:p>
          <w:p w:rsidR="00414797" w:rsidRPr="00414797" w:rsidRDefault="00414797" w:rsidP="00414797">
            <w:pPr>
              <w:ind w:left="284" w:hanging="284"/>
              <w:rPr>
                <w:szCs w:val="28"/>
              </w:rPr>
            </w:pPr>
            <w:r w:rsidRPr="00414797">
              <w:rPr>
                <w:szCs w:val="28"/>
              </w:rPr>
              <w:t>к постановлению Региональной службы</w:t>
            </w:r>
          </w:p>
          <w:p w:rsidR="00414797" w:rsidRPr="00414797" w:rsidRDefault="00414797" w:rsidP="00414797">
            <w:pPr>
              <w:ind w:left="284" w:hanging="284"/>
              <w:rPr>
                <w:szCs w:val="28"/>
              </w:rPr>
            </w:pPr>
            <w:r w:rsidRPr="00414797">
              <w:rPr>
                <w:szCs w:val="28"/>
              </w:rPr>
              <w:t>по тарифам и ценам Камчатского края</w:t>
            </w:r>
          </w:p>
          <w:p w:rsidR="00414797" w:rsidRPr="00414797" w:rsidRDefault="00414797" w:rsidP="00414797">
            <w:pPr>
              <w:ind w:left="284" w:hanging="284"/>
              <w:rPr>
                <w:szCs w:val="28"/>
              </w:rPr>
            </w:pPr>
            <w:r w:rsidRPr="00414797">
              <w:rPr>
                <w:szCs w:val="28"/>
              </w:rPr>
              <w:t>от 20.12.2019 № 428</w:t>
            </w:r>
          </w:p>
          <w:p w:rsidR="00414797" w:rsidRPr="00414797" w:rsidRDefault="00414797" w:rsidP="00414797">
            <w:pPr>
              <w:ind w:left="284" w:hanging="284"/>
              <w:rPr>
                <w:szCs w:val="28"/>
              </w:rPr>
            </w:pPr>
          </w:p>
          <w:p w:rsidR="00414797" w:rsidRPr="00414797" w:rsidRDefault="00414797" w:rsidP="00414797">
            <w:pPr>
              <w:ind w:left="284" w:hanging="284"/>
              <w:rPr>
                <w:szCs w:val="28"/>
              </w:rPr>
            </w:pPr>
            <w:r w:rsidRPr="00414797">
              <w:rPr>
                <w:szCs w:val="28"/>
              </w:rPr>
              <w:t>«Приложение 6</w:t>
            </w:r>
          </w:p>
          <w:p w:rsidR="00414797" w:rsidRPr="00414797" w:rsidRDefault="00414797" w:rsidP="00414797">
            <w:pPr>
              <w:ind w:left="284" w:hanging="284"/>
              <w:rPr>
                <w:szCs w:val="28"/>
              </w:rPr>
            </w:pPr>
            <w:r w:rsidRPr="00414797">
              <w:rPr>
                <w:szCs w:val="28"/>
              </w:rPr>
              <w:t>к постановлению Региональной службы</w:t>
            </w:r>
          </w:p>
          <w:p w:rsidR="00414797" w:rsidRPr="00414797" w:rsidRDefault="00414797" w:rsidP="00414797">
            <w:pPr>
              <w:ind w:left="284" w:hanging="284"/>
              <w:rPr>
                <w:szCs w:val="28"/>
              </w:rPr>
            </w:pPr>
            <w:r w:rsidRPr="00414797">
              <w:rPr>
                <w:szCs w:val="28"/>
              </w:rPr>
              <w:t xml:space="preserve">по тарифам и ценам Камчатского края </w:t>
            </w:r>
          </w:p>
          <w:p w:rsidR="00414797" w:rsidRPr="00414797" w:rsidRDefault="00414797" w:rsidP="00414797">
            <w:pPr>
              <w:rPr>
                <w:szCs w:val="28"/>
              </w:rPr>
            </w:pPr>
            <w:r w:rsidRPr="00414797">
              <w:rPr>
                <w:szCs w:val="28"/>
              </w:rPr>
              <w:t xml:space="preserve">от </w:t>
            </w:r>
            <w:r>
              <w:rPr>
                <w:szCs w:val="28"/>
              </w:rPr>
              <w:t>09.09</w:t>
            </w:r>
            <w:r w:rsidRPr="00414797">
              <w:rPr>
                <w:szCs w:val="28"/>
              </w:rPr>
              <w:t>.2020 № ХХХ</w:t>
            </w:r>
          </w:p>
        </w:tc>
      </w:tr>
    </w:tbl>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Default="00414797" w:rsidP="00D23436">
      <w:pPr>
        <w:pStyle w:val="ConsPlusTitle"/>
        <w:widowControl/>
        <w:jc w:val="center"/>
        <w:rPr>
          <w:rFonts w:ascii="Times New Roman" w:hAnsi="Times New Roman" w:cs="Times New Roman"/>
          <w:sz w:val="32"/>
          <w:szCs w:val="32"/>
        </w:rPr>
      </w:pPr>
    </w:p>
    <w:p w:rsidR="00414797" w:rsidRPr="00414797" w:rsidRDefault="00414797" w:rsidP="00414797">
      <w:pPr>
        <w:autoSpaceDE w:val="0"/>
        <w:autoSpaceDN w:val="0"/>
        <w:adjustRightInd w:val="0"/>
        <w:ind w:firstLine="540"/>
        <w:jc w:val="both"/>
        <w:rPr>
          <w:rFonts w:eastAsia="Calibri"/>
          <w:sz w:val="20"/>
          <w:szCs w:val="20"/>
          <w:lang w:eastAsia="en-US"/>
        </w:rPr>
      </w:pPr>
    </w:p>
    <w:p w:rsidR="00414797" w:rsidRPr="00414797" w:rsidRDefault="00414797" w:rsidP="00414797">
      <w:pPr>
        <w:autoSpaceDE w:val="0"/>
        <w:autoSpaceDN w:val="0"/>
        <w:adjustRightInd w:val="0"/>
        <w:jc w:val="center"/>
        <w:rPr>
          <w:rFonts w:eastAsia="Calibri"/>
          <w:b/>
          <w:bCs/>
          <w:sz w:val="24"/>
          <w:lang w:eastAsia="en-US"/>
        </w:rPr>
      </w:pPr>
      <w:bookmarkStart w:id="0" w:name="Par29"/>
      <w:bookmarkEnd w:id="0"/>
      <w:r w:rsidRPr="00414797">
        <w:rPr>
          <w:rFonts w:eastAsia="Calibri"/>
          <w:b/>
          <w:bCs/>
          <w:sz w:val="24"/>
          <w:lang w:eastAsia="en-US"/>
        </w:rPr>
        <w:t>ПЛАТА*</w:t>
      </w:r>
    </w:p>
    <w:p w:rsidR="00414797" w:rsidRPr="00414797" w:rsidRDefault="00414797" w:rsidP="00414797">
      <w:pPr>
        <w:autoSpaceDE w:val="0"/>
        <w:autoSpaceDN w:val="0"/>
        <w:adjustRightInd w:val="0"/>
        <w:jc w:val="center"/>
        <w:rPr>
          <w:rFonts w:eastAsia="Calibri"/>
          <w:bCs/>
          <w:szCs w:val="28"/>
          <w:lang w:eastAsia="en-US"/>
        </w:rPr>
      </w:pPr>
      <w:r w:rsidRPr="00414797">
        <w:rPr>
          <w:rFonts w:eastAsia="Calibri"/>
          <w:bCs/>
          <w:szCs w:val="28"/>
          <w:lang w:eastAsia="en-US"/>
        </w:rPr>
        <w:t>за подключение к системам теплоснабжения ПАО «Камчатскэнерго» в Николаевском сельском поселении Елизовского муниципального района потребителей,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w:t>
      </w:r>
    </w:p>
    <w:p w:rsidR="00414797" w:rsidRPr="00414797" w:rsidRDefault="00414797" w:rsidP="00414797">
      <w:pPr>
        <w:autoSpaceDE w:val="0"/>
        <w:autoSpaceDN w:val="0"/>
        <w:adjustRightInd w:val="0"/>
        <w:jc w:val="right"/>
        <w:rPr>
          <w:rFonts w:eastAsia="Calibri"/>
          <w:szCs w:val="28"/>
          <w:lang w:eastAsia="en-US"/>
        </w:rPr>
      </w:pPr>
      <w:r w:rsidRPr="00414797">
        <w:rPr>
          <w:rFonts w:eastAsia="Calibri"/>
          <w:szCs w:val="28"/>
          <w:lang w:eastAsia="en-US"/>
        </w:rPr>
        <w:t>тыс. руб./Гкал/ч без НД</w:t>
      </w:r>
      <w:bookmarkStart w:id="1" w:name="_GoBack"/>
      <w:bookmarkEnd w:id="1"/>
      <w:r w:rsidRPr="00414797">
        <w:rPr>
          <w:rFonts w:eastAsia="Calibri"/>
          <w:szCs w:val="28"/>
          <w:lang w:eastAsia="en-US"/>
        </w:rPr>
        <w:t>С</w:t>
      </w:r>
    </w:p>
    <w:tbl>
      <w:tblPr>
        <w:tblW w:w="5000" w:type="pct"/>
        <w:tblLook w:val="04A0" w:firstRow="1" w:lastRow="0" w:firstColumn="1" w:lastColumn="0" w:noHBand="0" w:noVBand="1"/>
      </w:tblPr>
      <w:tblGrid>
        <w:gridCol w:w="849"/>
        <w:gridCol w:w="7207"/>
        <w:gridCol w:w="1571"/>
      </w:tblGrid>
      <w:tr w:rsidR="00414797" w:rsidRPr="00414797" w:rsidTr="00414797">
        <w:trPr>
          <w:trHeight w:val="60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4797" w:rsidRPr="00414797" w:rsidRDefault="00414797" w:rsidP="00414797">
            <w:pPr>
              <w:jc w:val="center"/>
              <w:rPr>
                <w:sz w:val="22"/>
                <w:szCs w:val="22"/>
              </w:rPr>
            </w:pPr>
            <w:r w:rsidRPr="00414797">
              <w:rPr>
                <w:sz w:val="22"/>
                <w:szCs w:val="22"/>
              </w:rPr>
              <w:t>№</w:t>
            </w:r>
            <w:r w:rsidRPr="00414797">
              <w:rPr>
                <w:sz w:val="22"/>
                <w:szCs w:val="22"/>
              </w:rPr>
              <w:br/>
              <w:t>п/п</w:t>
            </w:r>
          </w:p>
        </w:tc>
        <w:tc>
          <w:tcPr>
            <w:tcW w:w="3743" w:type="pct"/>
            <w:tcBorders>
              <w:top w:val="single" w:sz="4" w:space="0" w:color="auto"/>
              <w:left w:val="nil"/>
              <w:bottom w:val="single" w:sz="4" w:space="0" w:color="auto"/>
              <w:right w:val="single" w:sz="4" w:space="0" w:color="auto"/>
            </w:tcBorders>
            <w:shd w:val="clear" w:color="auto" w:fill="auto"/>
            <w:vAlign w:val="center"/>
            <w:hideMark/>
          </w:tcPr>
          <w:p w:rsidR="00414797" w:rsidRPr="00414797" w:rsidRDefault="00414797" w:rsidP="00414797">
            <w:pPr>
              <w:jc w:val="center"/>
              <w:rPr>
                <w:sz w:val="22"/>
                <w:szCs w:val="22"/>
              </w:rPr>
            </w:pPr>
            <w:r w:rsidRPr="00414797">
              <w:rPr>
                <w:sz w:val="22"/>
                <w:szCs w:val="22"/>
              </w:rPr>
              <w:t>Наименование</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414797" w:rsidRPr="00414797" w:rsidRDefault="00414797" w:rsidP="00414797">
            <w:pPr>
              <w:jc w:val="center"/>
              <w:rPr>
                <w:sz w:val="22"/>
                <w:szCs w:val="22"/>
              </w:rPr>
            </w:pPr>
            <w:r w:rsidRPr="00414797">
              <w:rPr>
                <w:sz w:val="22"/>
                <w:szCs w:val="22"/>
              </w:rPr>
              <w:t>Значение</w:t>
            </w: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hideMark/>
          </w:tcPr>
          <w:p w:rsidR="00414797" w:rsidRPr="00414797" w:rsidRDefault="00414797" w:rsidP="00414797">
            <w:pPr>
              <w:jc w:val="center"/>
              <w:rPr>
                <w:sz w:val="22"/>
                <w:szCs w:val="22"/>
              </w:rPr>
            </w:pPr>
            <w:r w:rsidRPr="00414797">
              <w:rPr>
                <w:sz w:val="22"/>
                <w:szCs w:val="22"/>
              </w:rPr>
              <w:t>1</w:t>
            </w:r>
          </w:p>
        </w:tc>
        <w:tc>
          <w:tcPr>
            <w:tcW w:w="3743" w:type="pct"/>
            <w:tcBorders>
              <w:top w:val="nil"/>
              <w:left w:val="nil"/>
              <w:bottom w:val="single" w:sz="4" w:space="0" w:color="auto"/>
              <w:right w:val="single" w:sz="4" w:space="0" w:color="auto"/>
            </w:tcBorders>
            <w:shd w:val="clear" w:color="auto" w:fill="auto"/>
            <w:noWrap/>
            <w:hideMark/>
          </w:tcPr>
          <w:p w:rsidR="00414797" w:rsidRPr="00414797" w:rsidRDefault="00414797" w:rsidP="00414797">
            <w:pPr>
              <w:jc w:val="center"/>
              <w:rPr>
                <w:sz w:val="22"/>
                <w:szCs w:val="22"/>
              </w:rPr>
            </w:pPr>
            <w:r w:rsidRPr="00414797">
              <w:rPr>
                <w:sz w:val="22"/>
                <w:szCs w:val="22"/>
              </w:rPr>
              <w:t>2</w:t>
            </w:r>
          </w:p>
        </w:tc>
        <w:tc>
          <w:tcPr>
            <w:tcW w:w="816" w:type="pct"/>
            <w:tcBorders>
              <w:top w:val="nil"/>
              <w:left w:val="nil"/>
              <w:bottom w:val="single" w:sz="4" w:space="0" w:color="auto"/>
              <w:right w:val="single" w:sz="4" w:space="0" w:color="auto"/>
            </w:tcBorders>
            <w:shd w:val="clear" w:color="auto" w:fill="auto"/>
            <w:noWrap/>
            <w:hideMark/>
          </w:tcPr>
          <w:p w:rsidR="00414797" w:rsidRPr="00414797" w:rsidRDefault="00414797" w:rsidP="00414797">
            <w:pPr>
              <w:jc w:val="center"/>
              <w:rPr>
                <w:sz w:val="22"/>
                <w:szCs w:val="22"/>
              </w:rPr>
            </w:pPr>
            <w:r w:rsidRPr="00414797">
              <w:rPr>
                <w:sz w:val="22"/>
                <w:szCs w:val="22"/>
              </w:rPr>
              <w:t>3</w:t>
            </w:r>
          </w:p>
        </w:tc>
      </w:tr>
      <w:tr w:rsidR="00414797" w:rsidRPr="00414797" w:rsidTr="00414797">
        <w:trPr>
          <w:trHeight w:val="600"/>
        </w:trPr>
        <w:tc>
          <w:tcPr>
            <w:tcW w:w="4184" w:type="pct"/>
            <w:gridSpan w:val="2"/>
            <w:tcBorders>
              <w:top w:val="single" w:sz="4" w:space="0" w:color="auto"/>
              <w:left w:val="single" w:sz="4" w:space="0" w:color="auto"/>
              <w:bottom w:val="single" w:sz="4" w:space="0" w:color="auto"/>
              <w:right w:val="nil"/>
            </w:tcBorders>
            <w:shd w:val="clear" w:color="auto" w:fill="auto"/>
            <w:hideMark/>
          </w:tcPr>
          <w:p w:rsidR="00414797" w:rsidRPr="00414797" w:rsidRDefault="00414797" w:rsidP="00414797">
            <w:pPr>
              <w:rPr>
                <w:sz w:val="22"/>
                <w:szCs w:val="22"/>
              </w:rPr>
            </w:pPr>
            <w:r w:rsidRPr="00414797">
              <w:rPr>
                <w:sz w:val="22"/>
                <w:szCs w:val="22"/>
              </w:rPr>
              <w:t>Плата за подключение объектов заявителей, подключаемая тепловая нагрузка которых не превышает 0,1 Гкал/ч, в том числе:</w:t>
            </w:r>
          </w:p>
        </w:tc>
        <w:tc>
          <w:tcPr>
            <w:tcW w:w="816" w:type="pct"/>
            <w:tcBorders>
              <w:top w:val="nil"/>
              <w:left w:val="nil"/>
              <w:bottom w:val="single" w:sz="4" w:space="0" w:color="auto"/>
              <w:right w:val="nil"/>
            </w:tcBorders>
            <w:shd w:val="clear" w:color="auto" w:fill="auto"/>
            <w:hideMark/>
          </w:tcPr>
          <w:p w:rsidR="00414797" w:rsidRPr="00414797" w:rsidRDefault="00414797" w:rsidP="00414797">
            <w:pPr>
              <w:rPr>
                <w:sz w:val="22"/>
                <w:szCs w:val="22"/>
              </w:rPr>
            </w:pPr>
            <w:r w:rsidRPr="00414797">
              <w:rPr>
                <w:sz w:val="22"/>
                <w:szCs w:val="22"/>
              </w:rPr>
              <w:t> </w:t>
            </w:r>
          </w:p>
        </w:tc>
      </w:tr>
      <w:tr w:rsidR="00414797" w:rsidRPr="00414797" w:rsidTr="00414797">
        <w:trPr>
          <w:trHeight w:val="6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bCs/>
                <w:sz w:val="22"/>
                <w:szCs w:val="22"/>
              </w:rPr>
            </w:pPr>
            <w:r w:rsidRPr="00414797">
              <w:rPr>
                <w:bCs/>
                <w:sz w:val="22"/>
                <w:szCs w:val="22"/>
              </w:rPr>
              <w:t>1</w:t>
            </w:r>
          </w:p>
        </w:tc>
        <w:tc>
          <w:tcPr>
            <w:tcW w:w="3743" w:type="pct"/>
            <w:tcBorders>
              <w:top w:val="nil"/>
              <w:left w:val="nil"/>
              <w:bottom w:val="single" w:sz="4" w:space="0" w:color="auto"/>
              <w:right w:val="single" w:sz="4" w:space="0" w:color="auto"/>
            </w:tcBorders>
            <w:shd w:val="clear" w:color="auto" w:fill="auto"/>
            <w:hideMark/>
          </w:tcPr>
          <w:p w:rsidR="00414797" w:rsidRPr="00414797" w:rsidRDefault="00414797" w:rsidP="00414797">
            <w:pPr>
              <w:rPr>
                <w:bCs/>
                <w:sz w:val="22"/>
                <w:szCs w:val="22"/>
              </w:rPr>
            </w:pPr>
            <w:r w:rsidRPr="00414797">
              <w:rPr>
                <w:bCs/>
                <w:sz w:val="22"/>
                <w:szCs w:val="22"/>
              </w:rPr>
              <w:t>Расходы на проведение мероприятий по подключению объектов заявителей (П1)</w:t>
            </w:r>
          </w:p>
        </w:tc>
        <w:tc>
          <w:tcPr>
            <w:tcW w:w="816"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jc w:val="center"/>
              <w:rPr>
                <w:b/>
                <w:bCs/>
                <w:sz w:val="22"/>
                <w:szCs w:val="22"/>
              </w:rPr>
            </w:pPr>
            <w:r w:rsidRPr="00414797">
              <w:rPr>
                <w:b/>
                <w:bCs/>
                <w:sz w:val="22"/>
                <w:szCs w:val="22"/>
              </w:rPr>
              <w:t>1 331,18</w:t>
            </w:r>
          </w:p>
        </w:tc>
      </w:tr>
      <w:tr w:rsidR="00414797" w:rsidRPr="00414797" w:rsidTr="00414797">
        <w:trPr>
          <w:trHeight w:val="1815"/>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bCs/>
                <w:sz w:val="22"/>
                <w:szCs w:val="22"/>
              </w:rPr>
            </w:pPr>
            <w:r w:rsidRPr="00414797">
              <w:rPr>
                <w:bCs/>
                <w:sz w:val="22"/>
                <w:szCs w:val="22"/>
              </w:rPr>
              <w:t>2</w:t>
            </w:r>
          </w:p>
        </w:tc>
        <w:tc>
          <w:tcPr>
            <w:tcW w:w="3743" w:type="pct"/>
            <w:tcBorders>
              <w:top w:val="nil"/>
              <w:left w:val="nil"/>
              <w:bottom w:val="single" w:sz="4" w:space="0" w:color="auto"/>
              <w:right w:val="single" w:sz="4" w:space="0" w:color="auto"/>
            </w:tcBorders>
            <w:shd w:val="clear" w:color="auto" w:fill="auto"/>
            <w:hideMark/>
          </w:tcPr>
          <w:p w:rsidR="00414797" w:rsidRPr="00414797" w:rsidRDefault="00414797" w:rsidP="00414797">
            <w:pPr>
              <w:jc w:val="both"/>
              <w:rPr>
                <w:bCs/>
                <w:sz w:val="22"/>
                <w:szCs w:val="22"/>
              </w:rPr>
            </w:pPr>
            <w:r w:rsidRPr="00414797">
              <w:rPr>
                <w:bCs/>
                <w:sz w:val="22"/>
                <w:szCs w:val="22"/>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(П2.1), в том числе:</w:t>
            </w:r>
          </w:p>
        </w:tc>
        <w:tc>
          <w:tcPr>
            <w:tcW w:w="816"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jc w:val="center"/>
              <w:rPr>
                <w:b/>
                <w:bCs/>
                <w:sz w:val="22"/>
                <w:szCs w:val="22"/>
                <w:highlight w:val="yellow"/>
              </w:rPr>
            </w:pPr>
            <w:r w:rsidRPr="00414797">
              <w:rPr>
                <w:b/>
                <w:bCs/>
                <w:sz w:val="22"/>
                <w:szCs w:val="22"/>
                <w:highlight w:val="yellow"/>
              </w:rPr>
              <w:t>13 057,67</w:t>
            </w: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bCs/>
                <w:sz w:val="22"/>
                <w:szCs w:val="22"/>
              </w:rPr>
            </w:pPr>
            <w:r w:rsidRPr="00414797">
              <w:rPr>
                <w:bCs/>
                <w:sz w:val="22"/>
                <w:szCs w:val="22"/>
              </w:rPr>
              <w:t>2.1</w:t>
            </w:r>
          </w:p>
        </w:tc>
        <w:tc>
          <w:tcPr>
            <w:tcW w:w="3743" w:type="pct"/>
            <w:tcBorders>
              <w:top w:val="nil"/>
              <w:left w:val="nil"/>
              <w:bottom w:val="single" w:sz="4" w:space="0" w:color="auto"/>
              <w:right w:val="single" w:sz="4" w:space="0" w:color="auto"/>
            </w:tcBorders>
            <w:shd w:val="clear" w:color="auto" w:fill="auto"/>
            <w:hideMark/>
          </w:tcPr>
          <w:p w:rsidR="00414797" w:rsidRPr="00414797" w:rsidRDefault="00414797" w:rsidP="00414797">
            <w:pPr>
              <w:jc w:val="both"/>
              <w:rPr>
                <w:bCs/>
                <w:sz w:val="22"/>
                <w:szCs w:val="22"/>
              </w:rPr>
            </w:pPr>
            <w:r w:rsidRPr="00414797">
              <w:rPr>
                <w:bCs/>
                <w:sz w:val="22"/>
                <w:szCs w:val="22"/>
              </w:rPr>
              <w:t>Надземная (наземная) прокладка</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2.1.1</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50-250 мм</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2.1.2</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251-400 мм</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2.1.3</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401-550 мм</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2.1.4</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551-700 мм</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2.1.5</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701 мм и выше</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bCs/>
                <w:sz w:val="22"/>
                <w:szCs w:val="22"/>
              </w:rPr>
            </w:pPr>
            <w:r w:rsidRPr="00414797">
              <w:rPr>
                <w:bCs/>
                <w:sz w:val="22"/>
                <w:szCs w:val="22"/>
              </w:rPr>
              <w:t>2.2</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bCs/>
                <w:sz w:val="22"/>
                <w:szCs w:val="22"/>
              </w:rPr>
            </w:pPr>
            <w:r w:rsidRPr="00414797">
              <w:rPr>
                <w:bCs/>
                <w:sz w:val="22"/>
                <w:szCs w:val="22"/>
              </w:rPr>
              <w:t>Подземная прокладка, в том числе:</w:t>
            </w:r>
          </w:p>
        </w:tc>
        <w:tc>
          <w:tcPr>
            <w:tcW w:w="816" w:type="pct"/>
            <w:tcBorders>
              <w:top w:val="nil"/>
              <w:left w:val="nil"/>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highlight w:val="yellow"/>
              </w:rPr>
            </w:pPr>
            <w:r w:rsidRPr="00414797">
              <w:rPr>
                <w:sz w:val="22"/>
                <w:szCs w:val="22"/>
                <w:highlight w:val="yellow"/>
              </w:rPr>
              <w:t>13 057,67</w:t>
            </w: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2.2.1</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канальная прокладка</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2.2.1.1</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50-250 мм</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2.2.1.2</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251-400 мм</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2.2.1.3</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401-550 мм</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2.2.1.4</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551-700 мм</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2.2.1.5</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701 мм и выше</w:t>
            </w:r>
          </w:p>
        </w:tc>
        <w:tc>
          <w:tcPr>
            <w:tcW w:w="816" w:type="pct"/>
            <w:tcBorders>
              <w:top w:val="nil"/>
              <w:left w:val="nil"/>
              <w:bottom w:val="single" w:sz="4" w:space="0" w:color="auto"/>
              <w:right w:val="single" w:sz="4" w:space="0" w:color="auto"/>
            </w:tcBorders>
            <w:shd w:val="clear" w:color="auto" w:fill="auto"/>
            <w:noWrap/>
            <w:vAlign w:val="center"/>
          </w:tcPr>
          <w:p w:rsidR="00414797" w:rsidRPr="00414797" w:rsidRDefault="00414797" w:rsidP="00414797">
            <w:pPr>
              <w:jc w:val="center"/>
              <w:rPr>
                <w:sz w:val="22"/>
                <w:szCs w:val="22"/>
                <w:highlight w:val="yellow"/>
              </w:rPr>
            </w:pP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2.2.2</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бесканальная прокладка</w:t>
            </w:r>
          </w:p>
        </w:tc>
        <w:tc>
          <w:tcPr>
            <w:tcW w:w="816" w:type="pct"/>
            <w:tcBorders>
              <w:top w:val="nil"/>
              <w:left w:val="nil"/>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highlight w:val="yellow"/>
              </w:rPr>
            </w:pPr>
            <w:r w:rsidRPr="00414797">
              <w:rPr>
                <w:sz w:val="22"/>
                <w:szCs w:val="22"/>
                <w:highlight w:val="yellow"/>
              </w:rPr>
              <w:t>13 057,67</w:t>
            </w:r>
          </w:p>
        </w:tc>
      </w:tr>
      <w:tr w:rsidR="00414797" w:rsidRPr="00414797" w:rsidTr="00414797">
        <w:trPr>
          <w:trHeight w:val="285"/>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2.2.2.1</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50-250 мм</w:t>
            </w:r>
          </w:p>
        </w:tc>
        <w:tc>
          <w:tcPr>
            <w:tcW w:w="816" w:type="pct"/>
            <w:tcBorders>
              <w:top w:val="nil"/>
              <w:left w:val="nil"/>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highlight w:val="yellow"/>
              </w:rPr>
            </w:pPr>
            <w:r w:rsidRPr="00414797">
              <w:rPr>
                <w:sz w:val="22"/>
                <w:szCs w:val="22"/>
                <w:highlight w:val="yellow"/>
              </w:rPr>
              <w:t>13 057,67</w:t>
            </w:r>
          </w:p>
        </w:tc>
      </w:tr>
      <w:tr w:rsidR="00414797" w:rsidRPr="00414797" w:rsidTr="00414797">
        <w:trPr>
          <w:trHeight w:val="39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lastRenderedPageBreak/>
              <w:t>2.2.2.2</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251-400 мм</w:t>
            </w:r>
          </w:p>
        </w:tc>
        <w:tc>
          <w:tcPr>
            <w:tcW w:w="816" w:type="pct"/>
            <w:tcBorders>
              <w:top w:val="nil"/>
              <w:left w:val="nil"/>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 </w:t>
            </w: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2.2.2.3</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401-550 мм</w:t>
            </w:r>
          </w:p>
        </w:tc>
        <w:tc>
          <w:tcPr>
            <w:tcW w:w="816" w:type="pct"/>
            <w:tcBorders>
              <w:top w:val="nil"/>
              <w:left w:val="nil"/>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 </w:t>
            </w: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2.2.2.4</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551-700 мм</w:t>
            </w:r>
          </w:p>
        </w:tc>
        <w:tc>
          <w:tcPr>
            <w:tcW w:w="816" w:type="pct"/>
            <w:tcBorders>
              <w:top w:val="nil"/>
              <w:left w:val="nil"/>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 </w:t>
            </w:r>
          </w:p>
        </w:tc>
      </w:tr>
      <w:tr w:rsidR="00414797" w:rsidRPr="00414797" w:rsidTr="00414797">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2.2.2.5</w:t>
            </w:r>
          </w:p>
        </w:tc>
        <w:tc>
          <w:tcPr>
            <w:tcW w:w="3743" w:type="pct"/>
            <w:tcBorders>
              <w:top w:val="nil"/>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701 мм и выше</w:t>
            </w:r>
          </w:p>
        </w:tc>
        <w:tc>
          <w:tcPr>
            <w:tcW w:w="816" w:type="pct"/>
            <w:tcBorders>
              <w:top w:val="nil"/>
              <w:left w:val="nil"/>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 </w:t>
            </w:r>
          </w:p>
        </w:tc>
      </w:tr>
      <w:tr w:rsidR="00414797" w:rsidRPr="00414797" w:rsidTr="00414797">
        <w:trPr>
          <w:trHeight w:val="1215"/>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bCs/>
                <w:sz w:val="22"/>
                <w:szCs w:val="22"/>
              </w:rPr>
            </w:pPr>
            <w:r w:rsidRPr="00414797">
              <w:rPr>
                <w:bCs/>
                <w:sz w:val="22"/>
                <w:szCs w:val="22"/>
              </w:rPr>
              <w:t>3</w:t>
            </w:r>
          </w:p>
        </w:tc>
        <w:tc>
          <w:tcPr>
            <w:tcW w:w="3743" w:type="pct"/>
            <w:tcBorders>
              <w:top w:val="single" w:sz="4" w:space="0" w:color="auto"/>
              <w:left w:val="nil"/>
              <w:bottom w:val="single" w:sz="4" w:space="0" w:color="auto"/>
              <w:right w:val="single" w:sz="4" w:space="0" w:color="auto"/>
            </w:tcBorders>
            <w:shd w:val="clear" w:color="auto" w:fill="auto"/>
            <w:hideMark/>
          </w:tcPr>
          <w:p w:rsidR="00414797" w:rsidRPr="00414797" w:rsidRDefault="00414797" w:rsidP="00414797">
            <w:pPr>
              <w:jc w:val="both"/>
              <w:rPr>
                <w:bCs/>
                <w:sz w:val="22"/>
                <w:szCs w:val="22"/>
              </w:rPr>
            </w:pPr>
            <w:r w:rsidRPr="00414797">
              <w:rPr>
                <w:bCs/>
                <w:sz w:val="22"/>
                <w:szCs w:val="22"/>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0,1 Гкал/ч (П2.2)</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 </w:t>
            </w:r>
          </w:p>
        </w:tc>
      </w:tr>
      <w:tr w:rsidR="00414797" w:rsidRPr="00414797" w:rsidTr="00414797">
        <w:trPr>
          <w:trHeight w:val="300"/>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797" w:rsidRPr="00414797" w:rsidRDefault="00414797" w:rsidP="00414797">
            <w:pPr>
              <w:jc w:val="center"/>
              <w:rPr>
                <w:sz w:val="22"/>
                <w:szCs w:val="22"/>
              </w:rPr>
            </w:pPr>
            <w:r w:rsidRPr="00414797">
              <w:rPr>
                <w:sz w:val="22"/>
                <w:szCs w:val="22"/>
              </w:rPr>
              <w:t>4</w:t>
            </w:r>
          </w:p>
        </w:tc>
        <w:tc>
          <w:tcPr>
            <w:tcW w:w="3743" w:type="pct"/>
            <w:tcBorders>
              <w:top w:val="single" w:sz="4" w:space="0" w:color="auto"/>
              <w:left w:val="nil"/>
              <w:bottom w:val="single" w:sz="4" w:space="0" w:color="auto"/>
              <w:right w:val="single" w:sz="4" w:space="0" w:color="auto"/>
            </w:tcBorders>
            <w:shd w:val="clear" w:color="auto" w:fill="auto"/>
            <w:vAlign w:val="center"/>
            <w:hideMark/>
          </w:tcPr>
          <w:p w:rsidR="00414797" w:rsidRPr="00414797" w:rsidRDefault="00414797" w:rsidP="00414797">
            <w:pPr>
              <w:rPr>
                <w:sz w:val="22"/>
                <w:szCs w:val="22"/>
              </w:rPr>
            </w:pPr>
            <w:r w:rsidRPr="00414797">
              <w:rPr>
                <w:sz w:val="22"/>
                <w:szCs w:val="22"/>
              </w:rPr>
              <w:t>Налог на прибыль</w:t>
            </w:r>
          </w:p>
        </w:tc>
        <w:tc>
          <w:tcPr>
            <w:tcW w:w="816" w:type="pct"/>
            <w:tcBorders>
              <w:top w:val="single" w:sz="4" w:space="0" w:color="auto"/>
              <w:left w:val="nil"/>
              <w:bottom w:val="single" w:sz="4" w:space="0" w:color="auto"/>
              <w:right w:val="single" w:sz="4" w:space="0" w:color="auto"/>
            </w:tcBorders>
            <w:shd w:val="clear" w:color="auto" w:fill="auto"/>
            <w:hideMark/>
          </w:tcPr>
          <w:p w:rsidR="00414797" w:rsidRPr="00414797" w:rsidRDefault="00414797" w:rsidP="00414797">
            <w:pPr>
              <w:rPr>
                <w:sz w:val="22"/>
                <w:szCs w:val="22"/>
              </w:rPr>
            </w:pPr>
            <w:r w:rsidRPr="00414797">
              <w:rPr>
                <w:sz w:val="22"/>
                <w:szCs w:val="22"/>
              </w:rPr>
              <w:t> </w:t>
            </w:r>
          </w:p>
        </w:tc>
      </w:tr>
    </w:tbl>
    <w:p w:rsidR="00414797" w:rsidRPr="00414797" w:rsidRDefault="00414797" w:rsidP="00414797">
      <w:pPr>
        <w:tabs>
          <w:tab w:val="left" w:pos="3105"/>
        </w:tabs>
        <w:jc w:val="right"/>
        <w:rPr>
          <w:rFonts w:eastAsia="Calibri"/>
          <w:sz w:val="24"/>
        </w:rPr>
      </w:pPr>
      <w:r w:rsidRPr="00414797">
        <w:rPr>
          <w:rFonts w:eastAsia="Calibri"/>
          <w:sz w:val="24"/>
        </w:rPr>
        <w:t>».</w:t>
      </w:r>
    </w:p>
    <w:p w:rsidR="00414797" w:rsidRPr="008D13CF" w:rsidRDefault="00414797" w:rsidP="00D23436">
      <w:pPr>
        <w:pStyle w:val="ConsPlusTitle"/>
        <w:widowControl/>
        <w:jc w:val="center"/>
        <w:rPr>
          <w:rFonts w:ascii="Times New Roman" w:hAnsi="Times New Roman" w:cs="Times New Roman"/>
          <w:sz w:val="32"/>
          <w:szCs w:val="32"/>
        </w:rPr>
      </w:pPr>
    </w:p>
    <w:sectPr w:rsidR="00414797"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3D" w:rsidRDefault="0098623D" w:rsidP="00342D13">
      <w:r>
        <w:separator/>
      </w:r>
    </w:p>
  </w:endnote>
  <w:endnote w:type="continuationSeparator" w:id="0">
    <w:p w:rsidR="0098623D" w:rsidRDefault="0098623D"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3D" w:rsidRDefault="0098623D" w:rsidP="00342D13">
      <w:r>
        <w:separator/>
      </w:r>
    </w:p>
  </w:footnote>
  <w:footnote w:type="continuationSeparator" w:id="0">
    <w:p w:rsidR="0098623D" w:rsidRDefault="0098623D" w:rsidP="0034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45B3"/>
    <w:rsid w:val="000C0ABF"/>
    <w:rsid w:val="000C1841"/>
    <w:rsid w:val="0010596D"/>
    <w:rsid w:val="001723D0"/>
    <w:rsid w:val="00184C6B"/>
    <w:rsid w:val="00191854"/>
    <w:rsid w:val="00196836"/>
    <w:rsid w:val="001B5371"/>
    <w:rsid w:val="001E0B39"/>
    <w:rsid w:val="001E62AB"/>
    <w:rsid w:val="001E6FE1"/>
    <w:rsid w:val="00200564"/>
    <w:rsid w:val="00223D68"/>
    <w:rsid w:val="00230F4D"/>
    <w:rsid w:val="00232A85"/>
    <w:rsid w:val="002722F0"/>
    <w:rsid w:val="00296585"/>
    <w:rsid w:val="002A71B0"/>
    <w:rsid w:val="002B334D"/>
    <w:rsid w:val="002D43BE"/>
    <w:rsid w:val="00321E7D"/>
    <w:rsid w:val="00342D13"/>
    <w:rsid w:val="00362299"/>
    <w:rsid w:val="003832CF"/>
    <w:rsid w:val="003926A3"/>
    <w:rsid w:val="003A5BEF"/>
    <w:rsid w:val="003A7F52"/>
    <w:rsid w:val="003C2A43"/>
    <w:rsid w:val="003D6F0D"/>
    <w:rsid w:val="003E38BA"/>
    <w:rsid w:val="00414797"/>
    <w:rsid w:val="00441A91"/>
    <w:rsid w:val="00460247"/>
    <w:rsid w:val="0046790E"/>
    <w:rsid w:val="0048068C"/>
    <w:rsid w:val="0048261B"/>
    <w:rsid w:val="004D492F"/>
    <w:rsid w:val="004D79DB"/>
    <w:rsid w:val="004F0472"/>
    <w:rsid w:val="00511A74"/>
    <w:rsid w:val="00512C6C"/>
    <w:rsid w:val="0054446A"/>
    <w:rsid w:val="005709CE"/>
    <w:rsid w:val="005E22DD"/>
    <w:rsid w:val="005F0B57"/>
    <w:rsid w:val="005F2BC6"/>
    <w:rsid w:val="006317BF"/>
    <w:rsid w:val="006604E4"/>
    <w:rsid w:val="006650EC"/>
    <w:rsid w:val="006979FB"/>
    <w:rsid w:val="006A5AB2"/>
    <w:rsid w:val="006D4BF2"/>
    <w:rsid w:val="006E4B23"/>
    <w:rsid w:val="007120E9"/>
    <w:rsid w:val="0072115F"/>
    <w:rsid w:val="00733DC4"/>
    <w:rsid w:val="00747197"/>
    <w:rsid w:val="00760202"/>
    <w:rsid w:val="00793645"/>
    <w:rsid w:val="007A764E"/>
    <w:rsid w:val="007C6DC9"/>
    <w:rsid w:val="007E17B7"/>
    <w:rsid w:val="007F3290"/>
    <w:rsid w:val="007F49CA"/>
    <w:rsid w:val="00815D96"/>
    <w:rsid w:val="0083039A"/>
    <w:rsid w:val="00832E23"/>
    <w:rsid w:val="008434A6"/>
    <w:rsid w:val="00856C9C"/>
    <w:rsid w:val="00863EEF"/>
    <w:rsid w:val="008B7954"/>
    <w:rsid w:val="008D13CF"/>
    <w:rsid w:val="008F114E"/>
    <w:rsid w:val="008F586A"/>
    <w:rsid w:val="00905B59"/>
    <w:rsid w:val="009244DB"/>
    <w:rsid w:val="00941FB5"/>
    <w:rsid w:val="00970B2B"/>
    <w:rsid w:val="0098623D"/>
    <w:rsid w:val="009A5446"/>
    <w:rsid w:val="009B185D"/>
    <w:rsid w:val="009B1C1D"/>
    <w:rsid w:val="009B6B79"/>
    <w:rsid w:val="009D27F0"/>
    <w:rsid w:val="009E0C88"/>
    <w:rsid w:val="009E5EC5"/>
    <w:rsid w:val="009F2212"/>
    <w:rsid w:val="00A16406"/>
    <w:rsid w:val="00A52C9A"/>
    <w:rsid w:val="00A540B6"/>
    <w:rsid w:val="00A5593D"/>
    <w:rsid w:val="00A62100"/>
    <w:rsid w:val="00A63668"/>
    <w:rsid w:val="00A7789B"/>
    <w:rsid w:val="00A96A62"/>
    <w:rsid w:val="00AA3CED"/>
    <w:rsid w:val="00AB08DC"/>
    <w:rsid w:val="00AB3503"/>
    <w:rsid w:val="00AC284F"/>
    <w:rsid w:val="00AC6BC7"/>
    <w:rsid w:val="00AE6285"/>
    <w:rsid w:val="00AE7CE5"/>
    <w:rsid w:val="00B0143F"/>
    <w:rsid w:val="00B047CC"/>
    <w:rsid w:val="00B05805"/>
    <w:rsid w:val="00B440AB"/>
    <w:rsid w:val="00B524A1"/>
    <w:rsid w:val="00B539F9"/>
    <w:rsid w:val="00B540BB"/>
    <w:rsid w:val="00B60245"/>
    <w:rsid w:val="00B74965"/>
    <w:rsid w:val="00BA2CFB"/>
    <w:rsid w:val="00BA2D9F"/>
    <w:rsid w:val="00BD3083"/>
    <w:rsid w:val="00BF3927"/>
    <w:rsid w:val="00BF5293"/>
    <w:rsid w:val="00C00871"/>
    <w:rsid w:val="00C87DDD"/>
    <w:rsid w:val="00C93614"/>
    <w:rsid w:val="00C942BC"/>
    <w:rsid w:val="00C966C3"/>
    <w:rsid w:val="00CA2E6F"/>
    <w:rsid w:val="00CB67A4"/>
    <w:rsid w:val="00CD4A09"/>
    <w:rsid w:val="00CE5360"/>
    <w:rsid w:val="00D04C82"/>
    <w:rsid w:val="00D23436"/>
    <w:rsid w:val="00D605CF"/>
    <w:rsid w:val="00D840CE"/>
    <w:rsid w:val="00D871DE"/>
    <w:rsid w:val="00DA3A2D"/>
    <w:rsid w:val="00DC34F7"/>
    <w:rsid w:val="00DD3F53"/>
    <w:rsid w:val="00E0636D"/>
    <w:rsid w:val="00E24ECE"/>
    <w:rsid w:val="00E34935"/>
    <w:rsid w:val="00E3601E"/>
    <w:rsid w:val="00E371B1"/>
    <w:rsid w:val="00E43D52"/>
    <w:rsid w:val="00E50355"/>
    <w:rsid w:val="00E704ED"/>
    <w:rsid w:val="00E872A5"/>
    <w:rsid w:val="00E94805"/>
    <w:rsid w:val="00EB3439"/>
    <w:rsid w:val="00EE0DFD"/>
    <w:rsid w:val="00EE60C2"/>
    <w:rsid w:val="00EE6F1E"/>
    <w:rsid w:val="00F35D89"/>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F9DF-E92D-4EB8-A5BF-261D520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4359</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Виноградова Елена Сергеевна</cp:lastModifiedBy>
  <cp:revision>2</cp:revision>
  <cp:lastPrinted>2020-05-08T01:33:00Z</cp:lastPrinted>
  <dcterms:created xsi:type="dcterms:W3CDTF">2020-08-27T06:09:00Z</dcterms:created>
  <dcterms:modified xsi:type="dcterms:W3CDTF">2020-08-27T06:09:00Z</dcterms:modified>
</cp:coreProperties>
</file>